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6" w:rsidRPr="001A6B16" w:rsidRDefault="001A6B16" w:rsidP="001A6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1A6B16" w:rsidRPr="001A6B16" w:rsidRDefault="001A6B16" w:rsidP="001A6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2158"/>
      </w:tblGrid>
      <w:tr w:rsidR="001A6B16" w:rsidRPr="001A6B16" w:rsidTr="001A6B1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6B16" w:rsidRPr="001A6B16" w:rsidRDefault="001A6B16" w:rsidP="001A6B1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A6B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«15» </w:t>
            </w:r>
            <w:proofErr w:type="spellStart"/>
            <w:r w:rsidRPr="001A6B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ապրիլի</w:t>
            </w:r>
            <w:proofErr w:type="spellEnd"/>
            <w:r w:rsidRPr="001A6B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2008թ.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6B16" w:rsidRPr="001A6B16" w:rsidRDefault="001A6B16" w:rsidP="001A6B16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A6B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284</w:t>
            </w:r>
          </w:p>
        </w:tc>
      </w:tr>
    </w:tbl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Ստեփանակերտ</w:t>
      </w:r>
      <w:proofErr w:type="spellEnd"/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«ԺՈՂՈՎՐԴԱԿԱՆ» ԵՎ «ՎԱՍՏԱԿԱՎՈՐ» ՊԱՏՎԱՎՈՐ ԿՈՉՈՒՄՆԵՐԻ ԱՐԺԱՆԱՑԱԾ ԱՆՁԱՆՑ ԱՄԵՆԱՄՍՅԱ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ՊԱՏՎՈՎՃԱՐԻ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ՆՇԱՆԱԿՄԱՆ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ՎՃԱՐՄԱՆ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ԿԱՐԳՆ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ՈՒ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ՉԱՓԸ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ՍԱՀՄԱՆԵԼՈՒ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վերնագիրը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20.11.19 N 978-Ն)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ո ր ո շ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ու</w:t>
      </w:r>
      <w:proofErr w:type="spellEnd"/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մ է.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և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հավելվածի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կորցրած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ճանաչել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մայիսի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24-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»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կոչման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»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թիվ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267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2008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հուլիսի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նախաբանը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6765"/>
      </w:tblGrid>
      <w:tr w:rsidR="001A6B16" w:rsidRPr="001A6B16" w:rsidTr="001A6B16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1A6B16" w:rsidRPr="001A6B16" w:rsidRDefault="001A6B16" w:rsidP="001A6B1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B1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</w:t>
            </w:r>
            <w:r w:rsidRPr="001A6B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1A6B16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1A6B16" w:rsidRPr="001A6B16" w:rsidRDefault="001A6B16" w:rsidP="001A6B1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A6B1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Ա.ՀԱՐՈՒԹՅՈՒՆՅԱՆ</w:t>
            </w:r>
          </w:p>
        </w:tc>
      </w:tr>
    </w:tbl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1A6B16" w:rsidRPr="001A6B16" w:rsidTr="001A6B1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6B16" w:rsidRPr="001A6B16" w:rsidRDefault="001A6B16" w:rsidP="001A6B1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A6B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1A6B16" w:rsidRPr="001A6B16" w:rsidRDefault="001A6B16" w:rsidP="001A6B1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</w:p>
          <w:p w:rsidR="001A6B16" w:rsidRPr="001A6B16" w:rsidRDefault="001A6B16" w:rsidP="001A6B1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1A6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A6B16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ԼՂՀ</w:t>
            </w:r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6B16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կառավարությա</w:t>
            </w:r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ն</w:t>
            </w:r>
            <w:proofErr w:type="spellEnd"/>
          </w:p>
          <w:p w:rsidR="001A6B16" w:rsidRPr="001A6B16" w:rsidRDefault="001A6B16" w:rsidP="001A6B1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«15» </w:t>
            </w:r>
            <w:proofErr w:type="spellStart"/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ապրիլի</w:t>
            </w:r>
            <w:proofErr w:type="spellEnd"/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2008թ.</w:t>
            </w:r>
          </w:p>
          <w:p w:rsidR="001A6B16" w:rsidRPr="001A6B16" w:rsidRDefault="001A6B16" w:rsidP="001A6B16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284 </w:t>
            </w:r>
            <w:proofErr w:type="spellStart"/>
            <w:r w:rsidRPr="001A6B16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</w:tbl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«ԺՈՂՈՎՐԴԱԿԱՆ» ԵՎ «ՎԱՍՏԱԿԱՎՈՐ» ՊԱՏՎԱՎՈՐ ԿՈՉՈՒՄՆԵՐԻ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ԱՐԺԱՆԱՑԱԾ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ԱՆՁԱՆՑ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ԱՄԵՆԱՄՍՅԱ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ՊԱՏՎՈՎՃԱՐԻ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ՆՇԱՆԱԿՄԱՆ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ԵՎ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ՎՃԱՐՄԱՆ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ԿԱՐԳՆ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ՈՒ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ՉԱՓԸ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վերնագիրը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20.11.19 N 978-Ն)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1A6B16" w:rsidRPr="001A6B16" w:rsidRDefault="001A6B16" w:rsidP="001A6B1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I. ԱՄԵՆԱՄՍՅԱ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ՊԱՏՎՈՎՃԱՐԻ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ՆՇԱՆԱԿՄԱՆ</w:t>
      </w: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ԵՎ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ՎՃԱՐՄԱՆ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ԿԱՐԳՆ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ՈՒ</w:t>
      </w: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ՉԱՓԸ</w:t>
      </w:r>
    </w:p>
    <w:p w:rsidR="001A6B16" w:rsidRPr="001A6B16" w:rsidRDefault="001A6B16" w:rsidP="001A6B1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</w:t>
      </w: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»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</w:t>
      </w: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է՝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արտիստ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նկարիչ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գիտության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մանկավարժ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արտիստ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նկարիչ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արվեստի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մշակույթի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ճարտարապետ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լրագրող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բժիշկ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տնտեսության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կուլտուրայի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սպորտի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մարզիչ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կուլտուրայի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կոլեկտիվ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թոշակառու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համայնք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վճարովի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հանդիսացող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հետևյալ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Խորհրդային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Սոցիալիստական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արտիստ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Խորհրդային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Սոցիալիստական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նկարիչ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Խորհրդային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Սոցիալիստական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ճարտարապետ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29.06.2018 N 529-Ն,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խմբ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Ժողովրդական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40 000 ՀՀ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20 000 ՀՀ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ցմահ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(3-րդ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խմբ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վերաբնակեցման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նախարարություն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գործակալությունը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բաժինների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հաշվառման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վայրի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իսկ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հաշվառման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վայր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չունեցող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ըստ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փաստացի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վայրի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բաժին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անձնագիրը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լուսապատճենը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(2, 3, 5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6-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էջերի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կոչումը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հաստատող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վկայականը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լուսապատճենը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նշված</w:t>
      </w:r>
      <w:proofErr w:type="spellEnd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՝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Հանրապետությունո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անձնագրի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լուսապատճենների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հավաստիությունը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ստուգելուց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անձնագրի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լուսապատճենների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նշագրում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ճիշտ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է»,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կնքում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կնիքով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անձնագիրը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վերադարձնում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Oտարերկրյա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պետություններում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բնակվող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անձինք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դիմել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օտարերկրյա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պետությունում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դիվանագիտական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ծառայության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մարմիններ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ներկայացնելով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նախատեսված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բանկի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անվանումը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բանկում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անվամբ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դիվանագիտական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իրենց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կնիքով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կնքված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ճիշտ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նշագրմամբ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անձնագրի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վկայականի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լուսապատճեններն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իրատեսական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նախարարություն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(4-րդ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27.11.2008 N 803,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14.03.2012 N 113-Ն,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25.04.2014 N 256-Ն,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29.06.2018 N 529-Ն,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դիվանագիտական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միասին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ընդունվելու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առաքվում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դիմո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ւմն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բաժանմունքի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դրոշմակնիքի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երբ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բաժինը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դիվանագիտական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տեղեկացնում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թե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լրացուցիչ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Տեղեկացվելուց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բաժանմունքի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դրոշմակնիքի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4-րդ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կենսաթոշակառու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4-րդ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լուսապատճենները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հաշվարկ-կարգադրությունը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կենսաթոշակառու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</w:t>
      </w: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(5-րդ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27.11.2008 N 803,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29.06.2018 N 529-Ն,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5.1.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Մեկից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վունք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մեկ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ընտրությամբ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(5.1-ին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կապված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ծախսերը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ֆինանսավորվում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բյուջեում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կազմակերպություններից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(6-րդ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29.06.2018 N 529-Ն)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վճարվել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լիազորագրով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ժամկետներում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Ազատազրկման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պատիժը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ազատազրկման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բաժինների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(8-րդ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27.11.2008 N 803)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բացառությամբ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օտարերկրյա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պետություններում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բնակվող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կոչումների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բաժինը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նախկին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վճարելը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վերսկսվում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նախկին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վայրում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դադարեցվելու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օրվանից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տեղափոխվում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պահանջագրով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բաժինը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միասին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վերջին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(9-րդ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27.11.2008 N 803, 20.11.19 N 978-Ն)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հասանելիք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մահվան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պատճառով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չստացված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գումարը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մահացողի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ընտանիքի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մահվան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վկայականը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մահվանից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հետո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ընթացքում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բաժին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չստացված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գումարը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ենթակա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ժառանգման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(10-րդ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27.11.2008 N 803)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II. ԱՄԵՆԱՄՍՅԱ ՊԱՏՎՈՎՃԱՐ ՎՃԱՐԵԼԸ ԴԱԴԱՐԵՑՆԵԼԸ ԵՎ ՎԵՐՍԿՍԵԼԸ</w:t>
      </w:r>
    </w:p>
    <w:p w:rsidR="001A6B16" w:rsidRPr="001A6B16" w:rsidRDefault="001A6B16" w:rsidP="001A6B1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11.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Ամենամսյա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վճարելը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մահվան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ինչպես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մահացած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անհայտ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ճանաչվելու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«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վաստակավոր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կոչման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արժանացած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զբաղեցնելու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վճարովի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հանգամանքի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առաջացման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(11-րդ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1A6B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20.11.19 N 978-</w:t>
      </w:r>
      <w:r w:rsidRPr="001A6B1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Դադարեցված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վճարումը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վերսկսվում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մահացած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անհայտ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բացակայող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ճանաչելու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վճիռը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դատարանի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վերացվելուց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համայնքային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վճարովի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աշխատանքից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ազատվելուց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հետո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տարածքային</w:t>
      </w:r>
      <w:proofErr w:type="spellEnd"/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բաժին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</w:t>
      </w:r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դիվանագիտական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պատվովճար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դիմելու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ամսվան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1A6B16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1-ից:</w:t>
      </w:r>
    </w:p>
    <w:p w:rsidR="001A6B16" w:rsidRPr="001A6B16" w:rsidRDefault="001A6B16" w:rsidP="001A6B1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(12-րդ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27.11.2008 N 803,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29.06.2018 N 529-Ն,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լրաց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1A6B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20.11.19 N 978-</w:t>
      </w:r>
      <w:r w:rsidRPr="001A6B1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1A6B16" w:rsidRPr="001A6B16" w:rsidRDefault="001A6B16" w:rsidP="001A6B16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հավելվածը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խմբ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.,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., </w:t>
      </w:r>
      <w:proofErr w:type="spellStart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լրաց</w:t>
      </w:r>
      <w:proofErr w:type="spellEnd"/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</w:t>
      </w:r>
      <w:r w:rsidRPr="001A6B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20.11.19 N 978-</w:t>
      </w:r>
      <w:r w:rsidRPr="001A6B16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Ն</w:t>
      </w:r>
      <w:r w:rsidRPr="001A6B1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)</w:t>
      </w:r>
    </w:p>
    <w:p w:rsidR="001A6B16" w:rsidRPr="001A6B16" w:rsidRDefault="001A6B16" w:rsidP="001A6B1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B16" w:rsidRPr="001A6B16" w:rsidRDefault="001A6B16" w:rsidP="001A6B1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6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3678"/>
      </w:tblGrid>
      <w:tr w:rsidR="001A6B16" w:rsidRPr="001A6B16" w:rsidTr="001A6B16">
        <w:trPr>
          <w:tblCellSpacing w:w="7" w:type="dxa"/>
        </w:trPr>
        <w:tc>
          <w:tcPr>
            <w:tcW w:w="5940" w:type="dxa"/>
            <w:shd w:val="clear" w:color="auto" w:fill="FFFFFF"/>
            <w:vAlign w:val="center"/>
            <w:hideMark/>
          </w:tcPr>
          <w:p w:rsidR="001A6B16" w:rsidRPr="001A6B16" w:rsidRDefault="001A6B16" w:rsidP="001A6B1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6B1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</w:t>
            </w:r>
            <w:r w:rsidRPr="001A6B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A6B1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</w:t>
            </w:r>
            <w:proofErr w:type="spellEnd"/>
            <w:r w:rsidRPr="001A6B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A6B16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  <w:proofErr w:type="spellEnd"/>
          </w:p>
          <w:p w:rsidR="001A6B16" w:rsidRPr="001A6B16" w:rsidRDefault="001A6B16" w:rsidP="001A6B1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B1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ղեկավար-նախարար</w:t>
            </w:r>
            <w:proofErr w:type="spellEnd"/>
          </w:p>
        </w:tc>
        <w:tc>
          <w:tcPr>
            <w:tcW w:w="3960" w:type="dxa"/>
            <w:shd w:val="clear" w:color="auto" w:fill="FFFFFF"/>
            <w:vAlign w:val="bottom"/>
            <w:hideMark/>
          </w:tcPr>
          <w:p w:rsidR="001A6B16" w:rsidRPr="001A6B16" w:rsidRDefault="001A6B16" w:rsidP="001A6B1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6B1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Ս.Գրիգորյան</w:t>
            </w:r>
            <w:proofErr w:type="spellEnd"/>
          </w:p>
        </w:tc>
      </w:tr>
    </w:tbl>
    <w:p w:rsidR="003C326B" w:rsidRPr="001A6B16" w:rsidRDefault="003C326B" w:rsidP="001A6B16"/>
    <w:sectPr w:rsidR="003C326B" w:rsidRPr="001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1A6B16"/>
    <w:rsid w:val="002845CB"/>
    <w:rsid w:val="003C326B"/>
    <w:rsid w:val="00716AD0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2021-01-01T09:03:00Z</dcterms:modified>
</cp:coreProperties>
</file>