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31" w:rsidRPr="002E4F31" w:rsidRDefault="002E4F31" w:rsidP="002E4F31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ԼԵՌՆԱՅԻՆ ՂԱՐԱԲԱՂԻ ՀԱՆՐԱՊԵՏՈՒԹՅԱՆ ԿԱՌԱՎԱՐՈՒԹՅՈՒՆ</w:t>
      </w:r>
    </w:p>
    <w:p w:rsidR="002E4F31" w:rsidRPr="002E4F31" w:rsidRDefault="002E4F31" w:rsidP="002E4F31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2E4F31" w:rsidRPr="002E4F31" w:rsidRDefault="002E4F31" w:rsidP="002E4F31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Ո Ր Ո Շ ՈՒ Մ</w:t>
      </w:r>
    </w:p>
    <w:p w:rsidR="002E4F31" w:rsidRPr="002E4F31" w:rsidRDefault="002E4F31" w:rsidP="002E4F31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982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950"/>
      </w:tblGrid>
      <w:tr w:rsidR="002E4F31" w:rsidRPr="002E4F31" w:rsidTr="002E4F31">
        <w:trPr>
          <w:tblCellSpacing w:w="7" w:type="dxa"/>
          <w:jc w:val="center"/>
        </w:trPr>
        <w:tc>
          <w:tcPr>
            <w:tcW w:w="4815" w:type="dxa"/>
            <w:vAlign w:val="center"/>
            <w:hideMark/>
          </w:tcPr>
          <w:p w:rsidR="002E4F31" w:rsidRPr="002E4F31" w:rsidRDefault="002E4F31" w:rsidP="002E4F31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17</w:t>
            </w:r>
            <w:r w:rsidRPr="002E4F3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2E4F31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մայիսի</w:t>
            </w:r>
            <w:proofErr w:type="spellEnd"/>
            <w:r w:rsidRPr="002E4F31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 xml:space="preserve"> 2016</w:t>
            </w:r>
            <w:r w:rsidRPr="002E4F31">
              <w:rPr>
                <w:rFonts w:ascii="Arial Unicode" w:eastAsia="Times New Roman" w:hAnsi="Arial Unicode" w:cs="Arial Unicode"/>
                <w:sz w:val="21"/>
                <w:szCs w:val="21"/>
                <w:lang w:eastAsia="ru-RU"/>
              </w:rPr>
              <w:t>թ</w:t>
            </w:r>
            <w:r w:rsidRPr="002E4F31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890" w:type="dxa"/>
            <w:vAlign w:val="center"/>
            <w:hideMark/>
          </w:tcPr>
          <w:p w:rsidR="002E4F31" w:rsidRPr="002E4F31" w:rsidRDefault="002E4F31" w:rsidP="002E4F31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  <w:t>N 244-Ն</w:t>
            </w:r>
          </w:p>
        </w:tc>
      </w:tr>
    </w:tbl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ք.Ստեփանակերտ</w:t>
      </w:r>
      <w:proofErr w:type="spellEnd"/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4F31" w:rsidRPr="002E4F31" w:rsidRDefault="002E4F31" w:rsidP="002E4F31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ՀԱՐԿԱՅԻՆ ՄԱՐՄՆԻ ԿՈՂՄԻՑ ԵԿԱՄՏԱՅԻՆ ՀԱՐԿԻ ԱՆՁՆԱՎՈՐՎԱԾ ՀԱՇՎԱՌՄԱՆ ՏԵՂԵԿԱՏՎԱԿԱՆ ԲԱԶԱՅԻՑ ԼԵՌՆԱՅԻՆ ՂԱՐԱԲԱՂԻ ՀԱՆՐԱՊԵՏՈՒԹՅԱՆ ԱՇԽԱՏԱՆՔԻ ԵՎ ՍՈՑԻԱԼԱԿԱՆ ՀԱՐՑԵՐԻ ՆԱԽԱՐԱՐՈՒԹՅԱՆԸ ՏՎՅԱԼՆԵՐ ՏՐԱՄԱԴՐԵԼՈՒ ԿԱՐԳԸ ՀԱՍՏԱՏԵԼՈՒ ՄԱՍԻՆ</w:t>
      </w:r>
    </w:p>
    <w:p w:rsidR="002E4F31" w:rsidRPr="002E4F31" w:rsidRDefault="002E4F31" w:rsidP="002E4F31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«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ակտերի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13</w:t>
      </w: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noBreakHyphen/>
        <w:t xml:space="preserve">րդ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հոդվածին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2E4F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E4F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2E4F3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E4F31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ր</w:t>
      </w:r>
      <w:r w:rsidRPr="002E4F3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E4F31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</w:t>
      </w:r>
      <w:r w:rsidRPr="002E4F3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E4F31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շ</w:t>
      </w:r>
      <w:r w:rsidRPr="002E4F3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proofErr w:type="spellStart"/>
      <w:r w:rsidRPr="002E4F31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ու</w:t>
      </w:r>
      <w:proofErr w:type="spellEnd"/>
      <w:r w:rsidRPr="002E4F3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E4F31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մ</w:t>
      </w:r>
      <w:r w:rsidRPr="002E4F3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2E4F31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է</w:t>
      </w:r>
      <w:r w:rsidRPr="002E4F31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Հաստատել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տեղեկատվական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բազայից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նախարարությանը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համաձայն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հավելվածի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ֆինանսների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համատեղ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միջոցներ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ձեռնարկել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տեղեկատվական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բազայից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տեխնոլոգիական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մեթոդները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փոխհամաձայնեցնելու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տրամադրելը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ստանալը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ուղղությամբ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որոշումն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ուժի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մտնում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2016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հուլիսի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1-ից: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2E4F31" w:rsidRPr="002E4F31" w:rsidTr="002E4F31">
        <w:trPr>
          <w:tblCellSpacing w:w="7" w:type="dxa"/>
        </w:trPr>
        <w:tc>
          <w:tcPr>
            <w:tcW w:w="4500" w:type="dxa"/>
            <w:vAlign w:val="center"/>
            <w:hideMark/>
          </w:tcPr>
          <w:p w:rsidR="002E4F31" w:rsidRPr="002E4F31" w:rsidRDefault="002E4F31" w:rsidP="002E4F31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ԼԵՌՆԱՅԻՆ ՂԱՐԱԲԱՂԻ</w:t>
            </w:r>
          </w:p>
          <w:p w:rsidR="002E4F31" w:rsidRPr="002E4F31" w:rsidRDefault="002E4F31" w:rsidP="002E4F31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ՀԱՆՐԱՊԵՏՈՒԹՅԱՆ</w:t>
            </w:r>
            <w:r w:rsidRPr="002E4F3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  <w:r w:rsidRPr="002E4F31">
              <w:rPr>
                <w:rFonts w:ascii="Arial Unicode" w:eastAsia="Times New Roman" w:hAnsi="Arial Unicode" w:cs="Arial Unicode"/>
                <w:b/>
                <w:bCs/>
                <w:sz w:val="21"/>
                <w:szCs w:val="21"/>
                <w:lang w:eastAsia="ru-RU"/>
              </w:rPr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2E4F31" w:rsidRPr="002E4F31" w:rsidRDefault="002E4F31" w:rsidP="002E4F3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Ա. ՀԱՐՈՒԹՅՈՒՆՅԱՆ</w:t>
            </w:r>
          </w:p>
        </w:tc>
      </w:tr>
    </w:tbl>
    <w:p w:rsidR="002E4F31" w:rsidRPr="002E4F31" w:rsidRDefault="002E4F31" w:rsidP="002E4F31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2E4F31" w:rsidRPr="002E4F31" w:rsidRDefault="002E4F31" w:rsidP="002E4F31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5174"/>
      </w:tblGrid>
      <w:tr w:rsidR="002E4F31" w:rsidRPr="002E4F31" w:rsidTr="002E4F31">
        <w:trPr>
          <w:tblCellSpacing w:w="7" w:type="dxa"/>
        </w:trPr>
        <w:tc>
          <w:tcPr>
            <w:tcW w:w="9915" w:type="dxa"/>
            <w:shd w:val="clear" w:color="auto" w:fill="FFFFFF"/>
            <w:vAlign w:val="center"/>
            <w:hideMark/>
          </w:tcPr>
          <w:p w:rsidR="002E4F31" w:rsidRPr="002E4F31" w:rsidRDefault="002E4F31" w:rsidP="002E4F3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2E4F3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885" w:type="dxa"/>
            <w:shd w:val="clear" w:color="auto" w:fill="FFFFFF"/>
            <w:vAlign w:val="center"/>
            <w:hideMark/>
          </w:tcPr>
          <w:p w:rsidR="002E4F31" w:rsidRPr="002E4F31" w:rsidRDefault="002E4F31" w:rsidP="002E4F31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</w:p>
          <w:p w:rsidR="002E4F31" w:rsidRPr="002E4F31" w:rsidRDefault="002E4F31" w:rsidP="002E4F31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Լեռնային</w:t>
            </w:r>
            <w:proofErr w:type="spellEnd"/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Ղարաբաղի</w:t>
            </w:r>
            <w:proofErr w:type="spellEnd"/>
          </w:p>
          <w:p w:rsidR="002E4F31" w:rsidRPr="002E4F31" w:rsidRDefault="002E4F31" w:rsidP="002E4F31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Հանրապետության</w:t>
            </w:r>
            <w:proofErr w:type="spellEnd"/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</w:p>
          <w:p w:rsidR="002E4F31" w:rsidRPr="002E4F31" w:rsidRDefault="002E4F31" w:rsidP="002E4F31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2016 </w:t>
            </w:r>
            <w:proofErr w:type="spellStart"/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  <w:r w:rsidRPr="002E4F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</w:t>
            </w:r>
            <w:proofErr w:type="spellStart"/>
            <w:r w:rsidRPr="002E4F31">
              <w:rPr>
                <w:rFonts w:ascii="Arial Unicode" w:eastAsia="Times New Roman" w:hAnsi="Arial Unicode" w:cs="Arial Unicode"/>
                <w:color w:val="000000"/>
                <w:sz w:val="20"/>
                <w:szCs w:val="20"/>
                <w:lang w:eastAsia="ru-RU"/>
              </w:rPr>
              <w:t>մայիսի</w:t>
            </w:r>
            <w:proofErr w:type="spellEnd"/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17-</w:t>
            </w:r>
            <w:r w:rsidRPr="002E4F31">
              <w:rPr>
                <w:rFonts w:ascii="Arial Unicode" w:eastAsia="Times New Roman" w:hAnsi="Arial Unicode" w:cs="Arial Unicode"/>
                <w:color w:val="000000"/>
                <w:sz w:val="20"/>
                <w:szCs w:val="20"/>
                <w:lang w:eastAsia="ru-RU"/>
              </w:rPr>
              <w:t>ի</w:t>
            </w:r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N 244-</w:t>
            </w:r>
            <w:r w:rsidRPr="002E4F31">
              <w:rPr>
                <w:rFonts w:ascii="Arial Unicode" w:eastAsia="Times New Roman" w:hAnsi="Arial Unicode" w:cs="Arial Unicode"/>
                <w:color w:val="000000"/>
                <w:sz w:val="20"/>
                <w:szCs w:val="20"/>
                <w:lang w:eastAsia="ru-RU"/>
              </w:rPr>
              <w:t>Ն</w:t>
            </w:r>
            <w:r w:rsidRPr="002E4F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E4F31">
              <w:rPr>
                <w:rFonts w:ascii="Arial Unicode" w:eastAsia="Times New Roman" w:hAnsi="Arial Unicode" w:cs="Arial Unicode"/>
                <w:color w:val="000000"/>
                <w:sz w:val="20"/>
                <w:szCs w:val="20"/>
                <w:lang w:eastAsia="ru-RU"/>
              </w:rPr>
              <w:t>որոշմա</w:t>
            </w:r>
            <w:r w:rsidRPr="002E4F31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ն</w:t>
            </w:r>
            <w:proofErr w:type="spellEnd"/>
          </w:p>
        </w:tc>
      </w:tr>
    </w:tbl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E4F31" w:rsidRPr="002E4F31" w:rsidRDefault="002E4F31" w:rsidP="002E4F31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Կ Ա Ր Գ</w:t>
      </w:r>
    </w:p>
    <w:p w:rsidR="002E4F31" w:rsidRPr="002E4F31" w:rsidRDefault="002E4F31" w:rsidP="002E4F31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ՀԱՐԿԱՅԻՆ ՄԱՐՄՆԻ ԿՈՂՄԻՑ ԵԿԱՄՏԱՅԻՆ ՀԱՐԿԻ ԱՆՁՆԱՎՈՐՎԱԾ ՀԱՇՎԱՌՄԱՆ ՏԵՂԵԿԱՏՎԱԿԱՆ ԲԱԶԱՅԻՑ ԼԵՌՆԱՅԻՆ ՂԱՐԱԲԱՂԻ ՀԱՆՐԱՊԵՏՈՒԹՅԱՆ ԱՇԽԱՏԱՆՔԻ ԵՎ ՍՈՑԻԱԼԱԿԱՆ ՀԱՐՑԵՐԻ ՆԱԽԱՐԱՐՈՒԹՅԱՆԸ ՏՎՅԱԼՆԵՐ ՏՐԱՄԱԴՐԵԼՈՒ</w:t>
      </w:r>
    </w:p>
    <w:p w:rsidR="002E4F31" w:rsidRPr="002E4F31" w:rsidRDefault="002E4F31" w:rsidP="002E4F31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2E4F31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նախարարությանը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տեղեկատվական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բազայից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տեղեկատվական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բազա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տրամադրվող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նախարարությանն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կանգնած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ա.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վճարողի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այսուհետ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ՀՎՀՀ),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անվանումը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ոլորտը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հեռախոսը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կոնտակտային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հեռախոսահամարը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էլեկտրոնային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փոստի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հասցեն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գործունեությունն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ժամանակավորապես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վերսկսելու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լուծարվելու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պատճառը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բ.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ձեռնարկատիրոջ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ՀՎՀՀ-ն,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սերիան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չունենալու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ծննդյան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հեռախոսը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գործունեությունն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ժամանակավորապես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վերսկսելու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պատճառը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ինքնազբաղված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գործակալի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պարտավորությունից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ազատված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գործատուի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սերիան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չունենալու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ծննդյան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կանգնած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վերակազմակերպմամբ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ա.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վերակազմակերպման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հետևանքով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առանձնացման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ՀՎՀՀ-ն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առանձնացել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բ.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վերակազմակերպման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հետևանքով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բաժանման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ՀՎՀՀ-ն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բաժանվել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վերակազմակերպման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հետևանքով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միաձուլման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ՀՎՀՀ-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որոնց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միաձուլման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հետևանքով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ստեղծվել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կանգնած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վերակազմակերպմամբ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իրավաբանական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նաև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իրավահաջորդի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ՀՎՀՀ-ն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գործատուի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քաղաքացիաիրավական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հարաբերությունների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գտնվող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ներկայացվելու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ա.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դեպ-քում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ծննդյան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քաղաքացիությունը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սերիան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ծառա-յությունների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չունենալու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բնակության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վայրի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հասցեն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բ.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ընդունվելու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ազատվելու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ամսաթիվը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նշանակման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ազատման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ամսաթիվը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չվճարվող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արձակուրդի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մինչև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երեք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երեխայի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խնամքի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արձակուրդի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սկիզբը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վերջը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քաղաքացիաիրավական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սկիզբը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ավարտը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դ.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հաշվառման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ինքնաշխատ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համակարգի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հատկացրած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գրանցման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հայտը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5)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գործատուի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հետ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քաղաքացիաիրավական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հարաբերությունների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մեջ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գտնվող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ճշտված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ա.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էլեկտրոնային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եզակի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անճշտությունների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բացակայության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ինքնաշխատ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համակարգի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ձևավորած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էլեկտրոնային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նույն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հաշվետու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բ.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չունենալու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աշխատավարձի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հավասարեցված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դ.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ժամանակավոր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անաշխատունակության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ժամանակավոր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անաշխատունակության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բյուջեից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ենթակա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գումարի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առանձնացված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ժամանակավոր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անաշխատունակության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օրացուցային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ժամանակահատվածի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ժամանակահատվածների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սկիզբը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վերջը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ե.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աշխատավարձից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հավասարեցված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եկամուտներից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զ.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քաղաքացիաիրավական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շրջանակներում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դրանցից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է.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փոխհատուցման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ենթակա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գործատուների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կատարված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ծախսի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6)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գործակալի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պարտավորությունից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ազատված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գործատուի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մոտ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ստացողի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ճշտված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ա.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էլեկտրոնային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եզակի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անճշտությունների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բացակայության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ինքնաշխատ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համակարգի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ձևավորած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էլեկտրոնային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նույն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հաշվետու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բ.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ֆիզիկական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ՀՎՀՀ-ն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չունենալու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աշխատավարձի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հավասարեցված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դ.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վարձու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աշխատողին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ժամանակավոր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անաշխատունակության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ժամանակավոր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անաշխատունակության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ժամանակավոր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անաշխատունակության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օրացուցային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ժամանակահատվածի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ժամանակահատվածների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սկիզբը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վերջը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ե.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աշխատավարձից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հավասարեցված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եկամուտներից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զ.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քաղաքացիաիրավական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շրջանակներում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դրանցից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պահված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է.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գործատուի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ՀՎՀՀ-ն,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անվանումը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հարաբերությունները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սկսելու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քաղաքացիաիրավական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սկիզբը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ը.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հարաբերությունները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հաշվետու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ամսվա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ընթացքում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թ.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օրվա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դրությամբ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քաղաքացիաիրավական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գործողության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ավարտված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պայմանագիրը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լուծված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ժամկետն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ավարտվելու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պայմանագիրը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լուծելու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դադարելու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7)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ձեռնարկատիրոջ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ճշտված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ա. ՀՎՀՀ-ն,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չունենալու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բ.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մարմնում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էլեկտրոնային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եզակի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անձնավորված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անճշտությունների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բացակայության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ինքնաշխատ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համակարգի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ձևավորած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համապատասխան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էլեկտրոնային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փաստաթղթին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նույն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ամիսը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տարեթիվը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հաշվետու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հաշվարկման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օբյեկտ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համարվող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բացառությամբ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գործակալի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դ.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անհատ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ձեռնարկատիրոջը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2012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14-ի N 110-Ն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որոշմամբ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9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հավելվածի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2-րդ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կետով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ավել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նպաստի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ե. «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Հաստատագրված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հաստատագրված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վճարներով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հարկվող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 «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Առևտրի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»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առևտրի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հարկվող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գործունեություն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գործունեությունն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իրականացնելու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ժամանակահատվածը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սկիզբը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վերջը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գործունեության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տեսակների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եկամուտներից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գումարները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8)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ինքնազբաղված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կողմից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պարզեցված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այդ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ճշտված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մարելու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՝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ա.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հաշվետու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տարին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բ.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ինքնազբաղված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համարանիշ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չունենալու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տեղեկանքի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ազգանունը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, ՀՎՀՀ-ն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առկայության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դեպքում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),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որպես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ինքնազբաղված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ստացված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բացառությամբ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գործակալի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դրանից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եկամտային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կարգում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նշված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տվյալները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հարկային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մարմինը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տրամադրում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էլեկտրոնային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եղանակով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՝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վեբ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ծառայությունների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միջոցով</w:t>
      </w:r>
      <w:proofErr w:type="spellEnd"/>
      <w:r w:rsidRPr="002E4F31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2E4F31" w:rsidRPr="002E4F31" w:rsidRDefault="002E4F31" w:rsidP="002E4F3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2E4F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bookmarkStart w:id="0" w:name="_GoBack"/>
      <w:bookmarkEnd w:id="0"/>
      <w:r w:rsidRPr="002E4F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4"/>
        <w:gridCol w:w="3699"/>
      </w:tblGrid>
      <w:tr w:rsidR="002E4F31" w:rsidRPr="002E4F31" w:rsidTr="002E4F31">
        <w:trPr>
          <w:tblCellSpacing w:w="7" w:type="dxa"/>
        </w:trPr>
        <w:tc>
          <w:tcPr>
            <w:tcW w:w="5663" w:type="dxa"/>
            <w:vAlign w:val="center"/>
            <w:hideMark/>
          </w:tcPr>
          <w:p w:rsidR="002E4F31" w:rsidRPr="002E4F31" w:rsidRDefault="002E4F31" w:rsidP="002E4F31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ԼԵՌՆԱՅԻՆ ՂԱՐԱԲԱՂԻ ՀԱՆՐԱՊԵՏՈՒԹՅԱՆ</w:t>
            </w:r>
          </w:p>
          <w:p w:rsidR="002E4F31" w:rsidRPr="002E4F31" w:rsidRDefault="002E4F31" w:rsidP="002E4F31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ԿԱՌԱՎԱՐՈՒԹՅԱՆ ԱՇԽԱՏԱԿԱԶՄԻ</w:t>
            </w:r>
          </w:p>
          <w:p w:rsidR="002E4F31" w:rsidRPr="002E4F31" w:rsidRDefault="002E4F31" w:rsidP="002E4F31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ՂԵԿԱՎԱՐ-ՆԱԽԱՐԱՐ</w:t>
            </w:r>
          </w:p>
        </w:tc>
        <w:tc>
          <w:tcPr>
            <w:tcW w:w="3678" w:type="dxa"/>
            <w:vAlign w:val="bottom"/>
            <w:hideMark/>
          </w:tcPr>
          <w:p w:rsidR="002E4F31" w:rsidRPr="002E4F31" w:rsidRDefault="002E4F31" w:rsidP="002E4F31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2E4F31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Լ. ԳՐԻԳՈՐՅԱՆ</w:t>
            </w:r>
          </w:p>
        </w:tc>
      </w:tr>
    </w:tbl>
    <w:p w:rsidR="003C326B" w:rsidRPr="002E4F31" w:rsidRDefault="003C326B" w:rsidP="002E4F31"/>
    <w:sectPr w:rsidR="003C326B" w:rsidRPr="002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845CB"/>
    <w:rsid w:val="002E4F31"/>
    <w:rsid w:val="003C326B"/>
    <w:rsid w:val="004D6D30"/>
    <w:rsid w:val="00545F4B"/>
    <w:rsid w:val="0061248E"/>
    <w:rsid w:val="00716AD0"/>
    <w:rsid w:val="00777086"/>
    <w:rsid w:val="0085765C"/>
    <w:rsid w:val="00883B21"/>
    <w:rsid w:val="008B5C8C"/>
    <w:rsid w:val="008C28C4"/>
    <w:rsid w:val="008E4223"/>
    <w:rsid w:val="009A6E9C"/>
    <w:rsid w:val="00AE4A11"/>
    <w:rsid w:val="00C21859"/>
    <w:rsid w:val="00D65ABB"/>
    <w:rsid w:val="00D867EB"/>
    <w:rsid w:val="00EB4826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24</cp:revision>
  <cp:lastPrinted>2020-12-26T07:55:00Z</cp:lastPrinted>
  <dcterms:created xsi:type="dcterms:W3CDTF">2020-12-26T05:29:00Z</dcterms:created>
  <dcterms:modified xsi:type="dcterms:W3CDTF">2021-01-07T12:11:00Z</dcterms:modified>
</cp:coreProperties>
</file>