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B8" w:rsidRDefault="00DA11B8" w:rsidP="00DA11B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DA11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Խմբագրվել</w:t>
      </w:r>
      <w:proofErr w:type="spellEnd"/>
      <w:r w:rsidRPr="00DA11B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է</w:t>
      </w:r>
    </w:p>
    <w:p w:rsidR="00DA11B8" w:rsidRDefault="00DA11B8" w:rsidP="00DA11B8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DA11B8" w:rsidRPr="00DA11B8" w:rsidRDefault="00BE4E11" w:rsidP="00DA11B8">
      <w:pPr>
        <w:shd w:val="clear" w:color="auto" w:fill="FFFFFF"/>
        <w:spacing w:after="0"/>
        <w:jc w:val="right"/>
        <w:rPr>
          <w:rFonts w:ascii="GHEA Grapalat" w:hAnsi="GHEA Grapalat"/>
          <w:color w:val="000000" w:themeColor="text1"/>
          <w:sz w:val="24"/>
          <w:szCs w:val="24"/>
        </w:rPr>
      </w:pPr>
      <w:hyperlink r:id="rId4" w:history="1"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ԼՂՀ Կ</w:t>
        </w:r>
        <w:r w:rsidR="00D36019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առավարության</w:t>
        </w:r>
        <w:proofErr w:type="gramStart"/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,27.09.2011,N</w:t>
        </w:r>
        <w:proofErr w:type="gramEnd"/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 xml:space="preserve"> 713-Ն</w:t>
        </w:r>
      </w:hyperlink>
    </w:p>
    <w:p w:rsidR="00DA11B8" w:rsidRPr="00DA11B8" w:rsidRDefault="00BE4E11" w:rsidP="00DA11B8">
      <w:pPr>
        <w:shd w:val="clear" w:color="auto" w:fill="FFFFFF"/>
        <w:spacing w:after="0"/>
        <w:jc w:val="right"/>
        <w:rPr>
          <w:rFonts w:ascii="GHEA Grapalat" w:hAnsi="GHEA Grapalat"/>
          <w:color w:val="000000" w:themeColor="text1"/>
          <w:sz w:val="24"/>
          <w:szCs w:val="24"/>
        </w:rPr>
      </w:pPr>
      <w:hyperlink r:id="rId5" w:history="1"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ԼՂՀ Կ</w:t>
        </w:r>
        <w:r w:rsidR="00D36019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առավարության</w:t>
        </w:r>
        <w:proofErr w:type="gramStart"/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,29.01.2013,N</w:t>
        </w:r>
        <w:proofErr w:type="gramEnd"/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 xml:space="preserve"> 23-Ն</w:t>
        </w:r>
      </w:hyperlink>
    </w:p>
    <w:p w:rsidR="00DA11B8" w:rsidRPr="00DA11B8" w:rsidRDefault="00BE4E11" w:rsidP="00DA11B8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</w:rPr>
      </w:pPr>
      <w:hyperlink r:id="rId6" w:history="1"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ԱՀ Կ</w:t>
        </w:r>
        <w:r w:rsidR="00D36019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առավարության</w:t>
        </w:r>
        <w:proofErr w:type="gramStart"/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>,06.11.2017,N</w:t>
        </w:r>
        <w:proofErr w:type="gramEnd"/>
        <w:r w:rsidR="00DA11B8" w:rsidRPr="00DA11B8">
          <w:rPr>
            <w:rStyle w:val="a6"/>
            <w:rFonts w:ascii="GHEA Grapalat" w:hAnsi="GHEA Grapalat"/>
            <w:color w:val="000000" w:themeColor="text1"/>
            <w:sz w:val="24"/>
            <w:szCs w:val="24"/>
            <w:u w:val="none"/>
          </w:rPr>
          <w:t xml:space="preserve"> 121-Ն</w:t>
        </w:r>
      </w:hyperlink>
    </w:p>
    <w:p w:rsidR="00DA11B8" w:rsidRDefault="00DA11B8" w:rsidP="00D70A5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</w:rPr>
      </w:pPr>
    </w:p>
    <w:p w:rsidR="00DA11B8" w:rsidRDefault="00DA11B8" w:rsidP="00D70A5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</w:rPr>
      </w:pPr>
    </w:p>
    <w:p w:rsidR="00DA11B8" w:rsidRDefault="00DA11B8" w:rsidP="00D70A5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7"/>
        </w:rPr>
      </w:pPr>
    </w:p>
    <w:p w:rsidR="00D70A57" w:rsidRPr="00D70A57" w:rsidRDefault="00D70A57" w:rsidP="00D70A5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0A57">
        <w:rPr>
          <w:rFonts w:ascii="Arial Unicode" w:eastAsia="Times New Roman" w:hAnsi="Arial Unicode" w:cs="Times New Roman"/>
          <w:b/>
          <w:bCs/>
          <w:color w:val="000000"/>
          <w:sz w:val="27"/>
        </w:rPr>
        <w:t>ԼԵՌՆԱՅԻՆ ՂԱՐԱԲԱՂԻ ՀԱՆՐԱՊԵՏՈՒԹՅԱՆ ԿԱՌԱՎԱՐՈՒԹՅՈՒՆ</w:t>
      </w:r>
    </w:p>
    <w:p w:rsidR="00D70A57" w:rsidRPr="00D70A57" w:rsidRDefault="00D70A57" w:rsidP="00D70A5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70A57" w:rsidRPr="00D70A57" w:rsidRDefault="00D70A57" w:rsidP="00D70A5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0A57">
        <w:rPr>
          <w:rFonts w:ascii="Arial Unicode" w:eastAsia="Times New Roman" w:hAnsi="Arial Unicode" w:cs="Times New Roman"/>
          <w:b/>
          <w:bCs/>
          <w:color w:val="000000"/>
          <w:sz w:val="36"/>
        </w:rPr>
        <w:t>Ո Ր Ո Շ ՈՒ Մ</w:t>
      </w:r>
    </w:p>
    <w:p w:rsidR="00D70A57" w:rsidRPr="00D70A57" w:rsidRDefault="00D70A57" w:rsidP="00D70A5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0"/>
        <w:gridCol w:w="4905"/>
      </w:tblGrid>
      <w:tr w:rsidR="00D70A57" w:rsidRPr="00D70A57" w:rsidTr="00D70A57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D70A57" w:rsidRPr="00D70A57" w:rsidRDefault="00D70A57" w:rsidP="00D70A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70A5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«14»</w:t>
            </w:r>
            <w:r w:rsidRPr="00D70A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70A57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փետրվարի</w:t>
            </w:r>
            <w:proofErr w:type="spellEnd"/>
            <w:r w:rsidRPr="00D70A57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 xml:space="preserve"> 2008թ</w:t>
            </w:r>
            <w:r w:rsidRPr="00D70A5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D70A57" w:rsidRPr="00D70A57" w:rsidRDefault="00D70A57" w:rsidP="00D70A5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70A57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N 61</w:t>
            </w:r>
          </w:p>
        </w:tc>
      </w:tr>
    </w:tbl>
    <w:p w:rsidR="00D70A57" w:rsidRPr="00D70A57" w:rsidRDefault="00D70A57" w:rsidP="00D70A5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ք.Ստեփանակերտ</w:t>
      </w:r>
      <w:proofErr w:type="spellEnd"/>
    </w:p>
    <w:p w:rsidR="00D70A57" w:rsidRPr="00D70A57" w:rsidRDefault="00D70A57" w:rsidP="00D70A5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70A57" w:rsidRPr="00D70A57" w:rsidRDefault="00D70A57" w:rsidP="00D70A5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Սոցիալապես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անապահով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քաղաքացիներին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նյութական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տրամադրելու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կարգը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հաստատելու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մասին</w:t>
      </w:r>
      <w:proofErr w:type="spellEnd"/>
    </w:p>
    <w:p w:rsidR="00D70A57" w:rsidRPr="00D70A57" w:rsidRDefault="00D70A57" w:rsidP="00D70A5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D70A5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Սոցիալապես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անապահով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նյութական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տրամադրումը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կանոնակարգելու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Լեռնային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Ղարաբաղի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կառավարությունը</w:t>
      </w:r>
      <w:proofErr w:type="spellEnd"/>
      <w:r w:rsidRPr="00D70A57">
        <w:rPr>
          <w:rFonts w:ascii="Arial" w:eastAsia="Times New Roman" w:hAnsi="Arial" w:cs="Arial"/>
          <w:color w:val="000000"/>
          <w:sz w:val="21"/>
        </w:rPr>
        <w:t> </w:t>
      </w:r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ո ր ո շ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</w:rPr>
        <w:t>ու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</w:rPr>
        <w:t xml:space="preserve"> մ է.</w:t>
      </w:r>
      <w:proofErr w:type="gramEnd"/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Հաստատել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սոցիալապես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անապահով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նյութական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կարգը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հավելվածի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Արցախի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հարցերի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վերաբնակեցման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նախարարին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Լեռնային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Ղարաբաղի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շրջանների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վարչակազմերի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Ստեփանակերտի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քաղաքապետին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սոցիալապես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անապահով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նյութական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եռամսյակային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հաշվետվություններ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ներկայացնել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Արցախի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նախարարին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մինչև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եռամսյակին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հաջորդող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ամսվա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10-ը: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3. </w:t>
      </w:r>
      <w:proofErr w:type="spellStart"/>
      <w:r>
        <w:rPr>
          <w:rFonts w:ascii="GHEA Grapalat" w:eastAsia="Times New Roman" w:hAnsi="GHEA Grapalat" w:cs="Times New Roman"/>
          <w:color w:val="000000"/>
          <w:sz w:val="21"/>
          <w:szCs w:val="21"/>
        </w:rPr>
        <w:t>Ուժը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1"/>
          <w:szCs w:val="21"/>
        </w:rPr>
        <w:t>կորցրած</w:t>
      </w:r>
      <w:proofErr w:type="spellEnd"/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ճանաչել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Լեռնային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Ղարաբաղի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2000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ապրիլի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10-ի «ԼՂՀ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պաշտպանության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ժամանակ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հաշմանդամ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դարձած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կարիքների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թիվ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65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որոշումը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որոշումն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ուժի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մեջ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մտնում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պաշտոնական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հրապարակման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պահից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867"/>
      </w:tblGrid>
      <w:tr w:rsidR="00D70A57" w:rsidRPr="00D70A57" w:rsidTr="00D70A5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70A57" w:rsidRPr="00D70A57" w:rsidRDefault="00D70A57" w:rsidP="00D70A57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ԼՂՀ</w:t>
            </w:r>
            <w:r w:rsidRPr="00D70A57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70A57" w:rsidRPr="00D70A57" w:rsidRDefault="00D70A57" w:rsidP="00D70A5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</w:rPr>
              <w:t>Ա. ՀԱՐՈՒԹՅՈՒՆՅԱՆ</w:t>
            </w:r>
          </w:p>
        </w:tc>
      </w:tr>
    </w:tbl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7"/>
        <w:gridCol w:w="4521"/>
      </w:tblGrid>
      <w:tr w:rsidR="00D70A57" w:rsidRPr="00D70A57" w:rsidTr="00D70A5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0A57" w:rsidRPr="00D70A57" w:rsidRDefault="00D70A57" w:rsidP="00D70A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70A5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EA2FAF" w:rsidRDefault="00EA2FAF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</w:pPr>
          </w:p>
          <w:p w:rsidR="00EA2FAF" w:rsidRDefault="00EA2FAF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</w:pPr>
          </w:p>
          <w:p w:rsidR="00EA2FAF" w:rsidRDefault="00EA2FAF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</w:pPr>
          </w:p>
          <w:p w:rsidR="00EA2FAF" w:rsidRDefault="00EA2FAF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</w:pPr>
          </w:p>
          <w:p w:rsidR="00EA2FAF" w:rsidRDefault="00EA2FAF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</w:pPr>
          </w:p>
          <w:p w:rsidR="00EA2FAF" w:rsidRDefault="00EA2FAF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</w:pPr>
          </w:p>
          <w:p w:rsidR="00EA2FAF" w:rsidRDefault="00EA2FAF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</w:pPr>
          </w:p>
          <w:p w:rsidR="00D70A57" w:rsidRPr="00D70A57" w:rsidRDefault="00D70A57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lastRenderedPageBreak/>
              <w:t>Հավելված</w:t>
            </w:r>
            <w:proofErr w:type="spellEnd"/>
          </w:p>
          <w:p w:rsidR="00D70A57" w:rsidRPr="00D70A57" w:rsidRDefault="00D70A57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t xml:space="preserve">ԼՂՀ </w:t>
            </w: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t>կառավարության</w:t>
            </w:r>
            <w:proofErr w:type="spellEnd"/>
          </w:p>
          <w:p w:rsidR="00D70A57" w:rsidRPr="00D70A57" w:rsidRDefault="00D70A57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t>«14»</w:t>
            </w:r>
            <w:r w:rsidRPr="00D70A5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proofErr w:type="spellStart"/>
            <w:r w:rsidRPr="00D70A5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</w:rPr>
              <w:t>փետրվարի</w:t>
            </w:r>
            <w:proofErr w:type="spellEnd"/>
            <w:r w:rsidRPr="00D70A57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</w:rPr>
              <w:t xml:space="preserve"> 2008թ</w:t>
            </w: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t>.</w:t>
            </w:r>
          </w:p>
          <w:p w:rsidR="00D70A57" w:rsidRPr="00D70A57" w:rsidRDefault="00D70A57" w:rsidP="00D70A5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t>թիվ</w:t>
            </w:r>
            <w:proofErr w:type="spellEnd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t xml:space="preserve"> 61 </w:t>
            </w: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</w:rPr>
              <w:t>որոշման</w:t>
            </w:r>
            <w:proofErr w:type="spellEnd"/>
          </w:p>
        </w:tc>
      </w:tr>
    </w:tbl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70A57" w:rsidRDefault="00D70A57" w:rsidP="00D70A5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ԿԱՐԳ</w:t>
      </w:r>
    </w:p>
    <w:p w:rsidR="00D70A57" w:rsidRPr="00D70A57" w:rsidRDefault="00D70A57" w:rsidP="00D70A5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</w:p>
    <w:p w:rsidR="00D70A57" w:rsidRPr="00D70A57" w:rsidRDefault="00D70A57" w:rsidP="00D70A5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proofErr w:type="gram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սոցիալապես</w:t>
      </w:r>
      <w:proofErr w:type="spellEnd"/>
      <w:proofErr w:type="gram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անապահով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քաղաքացիներին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նյութական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տրամադրելու</w:t>
      </w:r>
      <w:proofErr w:type="spellEnd"/>
    </w:p>
    <w:p w:rsidR="00D70A57" w:rsidRPr="00D70A57" w:rsidRDefault="00D70A57" w:rsidP="00D70A5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D70A5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սոցիալապես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անապահով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պետական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բյուջեի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ինչպես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նաև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օրենսդրությամբ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չարգելված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միջոցների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հաշվին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նյութական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այդ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թվում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դրամական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հետ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կապված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հարաբերությունները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Հաշմանդամ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դարձած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զինծառայողներին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ծառայության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զոհված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մահացած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զինծառայողների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ընտանիքների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անդամներին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կարգին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«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Զինծառայողների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նրանց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ընտանիքների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անդամների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օրենքի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30-րդ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խնդրանքով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դիմումատուի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կարգավիճակից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բնակության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վայրից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բարձրացված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հարցի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էությունից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ելնելով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վերահասցեագրվել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Արցախի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հարցերի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վերաբնակեցման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նախարարություն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շրջանների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վարչակազմեր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Ստեփանակերտի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քաղաքապետարան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լիազոր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մարմին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կարգի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շրջանակներում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ընթացքավորելու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պաշտպանության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նախարարություն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՝ «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Զինծառայողների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նրանց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ընտանիքների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անդամների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օրենքով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ընթացքավորելու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քննարկվում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«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առաջարկությունները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դիմումները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գանգատները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քննարկելու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կարգի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օրենքով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ժամկետներում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Տարվա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մեկ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անգամ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տարվա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մեկ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անգամից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ավելի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ստանալ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միայն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անհետաձգելի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լուծում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պահանջող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կյանքի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դժվարին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իրավիճակներում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հայտնվելու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այդ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չափի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որոշումը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կայացնում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լիազոր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մարմնի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Լիազոր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մարմնի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է՝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ա) </w:t>
      </w:r>
      <w:proofErr w:type="spellStart"/>
      <w:proofErr w:type="gram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մինչև</w:t>
      </w:r>
      <w:proofErr w:type="spellEnd"/>
      <w:proofErr w:type="gram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50.0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հազ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դրամի</w:t>
      </w:r>
      <w:proofErr w:type="spellEnd"/>
      <w:proofErr w:type="gram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չափով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ստորաբաժանման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(ԼՂՀ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շրջանների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վարչակազմերում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Ստեփանակերտի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քաղաքապետարանում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ապահովության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հարցերով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զբաղվող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ստորաբաժանման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քննարկման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արդյունքում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տված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առաջարկության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հիման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վրա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,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բ) 50.0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հազ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proofErr w:type="gram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դրամից</w:t>
      </w:r>
      <w:proofErr w:type="spellEnd"/>
      <w:proofErr w:type="gram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ավելի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գումարի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չափով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նյութական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խնդրանքով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քաղաքացիների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դիմումները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քննարկող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հանձնաժողովի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հանձնաժողով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եզրակացության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7.</w:t>
      </w:r>
      <w:r w:rsidRPr="00D70A57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</w:rPr>
        <w:t>…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8.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Հանձնաժողովի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կազմում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ընդգրկվում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լիազոր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մարմնի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առնվազն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երեք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աշխատող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հանձնաժողովի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աշխատանքներին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կարող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ներգրավվել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այլ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մասնագետներ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9.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Հանձնաժողովի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կազմը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խնդրանքով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ընթացքավորելու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քաղաքացուն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օգնություն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տրամադրելու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լիազոր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մարմնի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ներքին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ընթացակարգը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հաստատվում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լիազոր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մարմնի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D70A57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D70A57" w:rsidRPr="00D70A57" w:rsidRDefault="00D70A57" w:rsidP="00D70A5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D70A57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867"/>
      </w:tblGrid>
      <w:tr w:rsidR="00D70A57" w:rsidRPr="00D70A57" w:rsidTr="00D70A57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D70A57" w:rsidRPr="00D70A57" w:rsidRDefault="00D70A57" w:rsidP="00D70A5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ԼՂՀ </w:t>
            </w: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աշխատակազմի</w:t>
            </w:r>
            <w:proofErr w:type="spellEnd"/>
          </w:p>
          <w:p w:rsidR="00D70A57" w:rsidRPr="00D70A57" w:rsidRDefault="00D70A57" w:rsidP="00D70A57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ղեկավար-նախարար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70A57" w:rsidRPr="00D70A57" w:rsidRDefault="00D70A57" w:rsidP="00D70A5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</w:rPr>
              <w:t xml:space="preserve">Ս. </w:t>
            </w:r>
            <w:proofErr w:type="spellStart"/>
            <w:r w:rsidRPr="00D70A57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</w:rPr>
              <w:t>Գրիգորյան</w:t>
            </w:r>
            <w:proofErr w:type="spellEnd"/>
          </w:p>
        </w:tc>
      </w:tr>
    </w:tbl>
    <w:p w:rsidR="003F3C66" w:rsidRPr="00D70A57" w:rsidRDefault="003F3C66">
      <w:pPr>
        <w:rPr>
          <w:rFonts w:ascii="GHEA Grapalat" w:hAnsi="GHEA Grapalat"/>
        </w:rPr>
      </w:pPr>
    </w:p>
    <w:sectPr w:rsidR="003F3C66" w:rsidRPr="00D70A57" w:rsidSect="007C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A57"/>
    <w:rsid w:val="003F3C66"/>
    <w:rsid w:val="007C66C9"/>
    <w:rsid w:val="00BE4E11"/>
    <w:rsid w:val="00D36019"/>
    <w:rsid w:val="00D70A57"/>
    <w:rsid w:val="00DA11B8"/>
    <w:rsid w:val="00EA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A57"/>
    <w:rPr>
      <w:b/>
      <w:bCs/>
    </w:rPr>
  </w:style>
  <w:style w:type="character" w:customStyle="1" w:styleId="apple-converted-space">
    <w:name w:val="apple-converted-space"/>
    <w:basedOn w:val="a0"/>
    <w:rsid w:val="00D70A57"/>
  </w:style>
  <w:style w:type="character" w:styleId="a5">
    <w:name w:val="Emphasis"/>
    <w:basedOn w:val="a0"/>
    <w:uiPriority w:val="20"/>
    <w:qFormat/>
    <w:rsid w:val="00D70A57"/>
    <w:rPr>
      <w:i/>
      <w:iCs/>
    </w:rPr>
  </w:style>
  <w:style w:type="character" w:styleId="a6">
    <w:name w:val="Hyperlink"/>
    <w:basedOn w:val="a0"/>
    <w:uiPriority w:val="99"/>
    <w:semiHidden/>
    <w:unhideWhenUsed/>
    <w:rsid w:val="00DA1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exis.am/DocumentView.aspx?docid=13858" TargetMode="External"/><Relationship Id="rId5" Type="http://schemas.openxmlformats.org/officeDocument/2006/relationships/hyperlink" Target="http://www.arlexis.am/DocumentView.aspx?docid=7759" TargetMode="External"/><Relationship Id="rId4" Type="http://schemas.openxmlformats.org/officeDocument/2006/relationships/hyperlink" Target="http://www.arlexis.am/DocumentView.aspx?docid=6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602</Words>
  <Characters>3433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soc ajak</dc:creator>
  <cp:keywords/>
  <dc:description/>
  <cp:lastModifiedBy>anush soc ajak</cp:lastModifiedBy>
  <cp:revision>6</cp:revision>
  <dcterms:created xsi:type="dcterms:W3CDTF">2006-11-02T01:44:00Z</dcterms:created>
  <dcterms:modified xsi:type="dcterms:W3CDTF">2006-11-02T01:51:00Z</dcterms:modified>
</cp:coreProperties>
</file>