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jc w:val="center"/>
        <w:tblCellSpacing w:w="0" w:type="dxa"/>
        <w:tblCellMar>
          <w:left w:w="0" w:type="dxa"/>
          <w:right w:w="0" w:type="dxa"/>
        </w:tblCellMar>
        <w:tblLook w:val="04A0"/>
      </w:tblPr>
      <w:tblGrid>
        <w:gridCol w:w="11040"/>
      </w:tblGrid>
      <w:tr w:rsidR="00186330" w:rsidRPr="00186330" w:rsidTr="00186330">
        <w:trPr>
          <w:tblCellSpacing w:w="0" w:type="dxa"/>
          <w:jc w:val="center"/>
        </w:trPr>
        <w:tc>
          <w:tcPr>
            <w:tcW w:w="0" w:type="auto"/>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rsidTr="00186330">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tblPr>
            <w:tblGrid>
              <w:gridCol w:w="11040"/>
            </w:tblGrid>
            <w:tr w:rsidR="00186330" w:rsidRPr="00186330">
              <w:trPr>
                <w:tblCellSpacing w:w="0" w:type="dxa"/>
                <w:jc w:val="center"/>
              </w:trPr>
              <w:tc>
                <w:tcPr>
                  <w:tcW w:w="11040" w:type="dxa"/>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trPr>
                <w:tblCellSpacing w:w="0" w:type="dxa"/>
                <w:jc w:val="center"/>
              </w:trPr>
              <w:tc>
                <w:tcPr>
                  <w:tcW w:w="11040" w:type="dxa"/>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trPr>
                <w:tblCellSpacing w:w="0" w:type="dxa"/>
                <w:jc w:val="center"/>
              </w:trPr>
              <w:tc>
                <w:tcPr>
                  <w:tcW w:w="11040" w:type="dxa"/>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trPr>
                <w:tblCellSpacing w:w="0" w:type="dxa"/>
                <w:jc w:val="center"/>
              </w:trPr>
              <w:tc>
                <w:tcPr>
                  <w:tcW w:w="0" w:type="auto"/>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trPr>
                <w:tblCellSpacing w:w="0" w:type="dxa"/>
                <w:jc w:val="center"/>
              </w:trPr>
              <w:tc>
                <w:tcPr>
                  <w:tcW w:w="0" w:type="auto"/>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r w:rsidR="00186330" w:rsidRPr="00186330">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1040"/>
                  </w:tblGrid>
                  <w:tr w:rsidR="00186330" w:rsidRPr="00186330">
                    <w:trPr>
                      <w:trHeight w:val="300"/>
                      <w:tblCellSpacing w:w="0" w:type="dxa"/>
                    </w:trPr>
                    <w:tc>
                      <w:tcPr>
                        <w:tcW w:w="0" w:type="auto"/>
                        <w:vAlign w:val="center"/>
                        <w:hideMark/>
                      </w:tcPr>
                      <w:p w:rsidR="00186330" w:rsidRPr="00186330" w:rsidRDefault="00186330" w:rsidP="00186330">
                        <w:pPr>
                          <w:spacing w:after="0" w:line="240" w:lineRule="auto"/>
                          <w:rPr>
                            <w:rFonts w:ascii="Arial Unicode" w:eastAsia="Times New Roman" w:hAnsi="Arial Unicode" w:cs="Times New Roman"/>
                            <w:sz w:val="17"/>
                            <w:szCs w:val="21"/>
                            <w:lang w:eastAsia="ru-RU"/>
                          </w:rPr>
                        </w:pPr>
                        <w:r w:rsidRPr="00186330">
                          <w:rPr>
                            <w:rFonts w:ascii="Arial" w:eastAsia="Times New Roman" w:hAnsi="Arial" w:cs="Arial"/>
                            <w:sz w:val="17"/>
                            <w:szCs w:val="21"/>
                            <w:lang w:eastAsia="ru-RU"/>
                          </w:rPr>
                          <w:t> </w:t>
                        </w:r>
                      </w:p>
                    </w:tc>
                  </w:tr>
                  <w:tr w:rsidR="00186330" w:rsidRPr="00186330">
                    <w:trPr>
                      <w:tblCellSpacing w:w="0" w:type="dxa"/>
                    </w:trPr>
                    <w:tc>
                      <w:tcPr>
                        <w:tcW w:w="11040" w:type="dxa"/>
                        <w:vAlign w:val="center"/>
                        <w:hideMark/>
                      </w:tcPr>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b/>
                            <w:bCs/>
                            <w:color w:val="000000"/>
                            <w:sz w:val="23"/>
                            <w:lang w:eastAsia="ru-RU"/>
                          </w:rPr>
                          <w:t>ԼԵՌՆԱՅԻՆ ՂԱՐԱԲԱՂԻ ՀԱՆՐԱՊԵՏՈՒԹՅԱՆ ԿԱՌԱՎԱՐՈՒԹՅՈՒՆ</w:t>
                        </w:r>
                      </w:p>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b/>
                            <w:bCs/>
                            <w:color w:val="000000"/>
                            <w:sz w:val="32"/>
                            <w:lang w:eastAsia="ru-RU"/>
                          </w:rPr>
                          <w:t>Ո Ր Ո Շ ՈՒ Մ</w:t>
                        </w:r>
                      </w:p>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tbl>
                        <w:tblPr>
                          <w:tblW w:w="9825" w:type="dxa"/>
                          <w:jc w:val="center"/>
                          <w:tblCellSpacing w:w="7" w:type="dxa"/>
                          <w:shd w:val="clear" w:color="auto" w:fill="FFFFFF"/>
                          <w:tblCellMar>
                            <w:left w:w="0" w:type="dxa"/>
                            <w:right w:w="0" w:type="dxa"/>
                          </w:tblCellMar>
                          <w:tblLook w:val="04A0"/>
                        </w:tblPr>
                        <w:tblGrid>
                          <w:gridCol w:w="4920"/>
                          <w:gridCol w:w="4905"/>
                        </w:tblGrid>
                        <w:tr w:rsidR="00186330" w:rsidRPr="00186330" w:rsidTr="00186330">
                          <w:trPr>
                            <w:tblCellSpacing w:w="7" w:type="dxa"/>
                            <w:jc w:val="center"/>
                          </w:trPr>
                          <w:tc>
                            <w:tcPr>
                              <w:tcW w:w="4860" w:type="dxa"/>
                              <w:shd w:val="clear" w:color="auto" w:fill="FFFFFF"/>
                              <w:vAlign w:val="center"/>
                              <w:hideMark/>
                            </w:tcPr>
                            <w:p w:rsidR="00186330" w:rsidRPr="00186330" w:rsidRDefault="00186330" w:rsidP="00186330">
                              <w:pPr>
                                <w:spacing w:after="0" w:line="240" w:lineRule="auto"/>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«16» սեպտեմբերի 2008թ.</w:t>
                              </w:r>
                            </w:p>
                          </w:tc>
                          <w:tc>
                            <w:tcPr>
                              <w:tcW w:w="4845" w:type="dxa"/>
                              <w:shd w:val="clear" w:color="auto" w:fill="FFFFFF"/>
                              <w:vAlign w:val="center"/>
                              <w:hideMark/>
                            </w:tcPr>
                            <w:p w:rsidR="00186330" w:rsidRPr="00186330" w:rsidRDefault="00186330" w:rsidP="00186330">
                              <w:pPr>
                                <w:spacing w:after="0" w:line="240" w:lineRule="auto"/>
                                <w:jc w:val="right"/>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N 620</w:t>
                              </w:r>
                            </w:p>
                          </w:tc>
                        </w:tr>
                      </w:tbl>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ք.Ստեփանակերտ</w:t>
                        </w:r>
                      </w:p>
                      <w:p w:rsidR="00186330" w:rsidRPr="00186330" w:rsidRDefault="00186330" w:rsidP="00186330">
                        <w:pPr>
                          <w:shd w:val="clear" w:color="auto" w:fill="FFFFFF"/>
                          <w:spacing w:after="0" w:line="240" w:lineRule="auto"/>
                          <w:jc w:val="center"/>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p w:rsidR="00186330" w:rsidRPr="00186330" w:rsidRDefault="00186330" w:rsidP="00186330">
                        <w:pPr>
                          <w:spacing w:after="0" w:line="240" w:lineRule="auto"/>
                          <w:jc w:val="center"/>
                          <w:rPr>
                            <w:rFonts w:ascii="Arial Unicode" w:eastAsia="Times New Roman" w:hAnsi="Arial Unicode" w:cs="Times New Roman"/>
                            <w:b/>
                            <w:bCs/>
                            <w:color w:val="000000"/>
                            <w:sz w:val="17"/>
                            <w:szCs w:val="21"/>
                            <w:shd w:val="clear" w:color="auto" w:fill="FFFFFF"/>
                            <w:lang w:eastAsia="ru-RU"/>
                          </w:rPr>
                        </w:pPr>
                        <w:r w:rsidRPr="00186330">
                          <w:rPr>
                            <w:rFonts w:ascii="Arial Unicode" w:eastAsia="Times New Roman" w:hAnsi="Arial Unicode" w:cs="Times New Roman"/>
                            <w:b/>
                            <w:bCs/>
                            <w:color w:val="000000"/>
                            <w:sz w:val="17"/>
                            <w:szCs w:val="21"/>
                            <w:shd w:val="clear" w:color="auto" w:fill="FFFFFF"/>
                            <w:lang w:eastAsia="ru-RU"/>
                          </w:rPr>
                          <w:t>ԱՌԱՆՑ ԾՆՈՂԱԿԱՆ ԽՆԱՄՔԻ ՄՆԱՑԱԾ ԵՐԵԽԱՆԵՐԻՆ ՏՐԱՄԱԴՐՎՈՂ ԲՆԱԿԱՐԱՆՆԵՐԻ ԿԱՀԱՎՈՐՄԱՆ ՄԱՍԻՆ</w:t>
                        </w:r>
                      </w:p>
                      <w:p w:rsidR="00186330" w:rsidRPr="00186330" w:rsidRDefault="00186330" w:rsidP="00186330">
                        <w:pPr>
                          <w:shd w:val="clear" w:color="auto" w:fill="FFFFFF"/>
                          <w:spacing w:after="0" w:line="240" w:lineRule="auto"/>
                          <w:ind w:firstLine="375"/>
                          <w:jc w:val="center"/>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r w:rsidRPr="00186330">
                          <w:rPr>
                            <w:rFonts w:ascii="Arial Unicode" w:eastAsia="Times New Roman" w:hAnsi="Arial Unicode" w:cs="Arial Unicode"/>
                            <w:color w:val="000000"/>
                            <w:sz w:val="17"/>
                            <w:szCs w:val="21"/>
                            <w:lang w:eastAsia="ru-RU"/>
                          </w:rPr>
                          <w:t>Լեռնային Ղարաբաղի Հանրապետության կառավարությունը</w:t>
                        </w:r>
                        <w:r w:rsidRPr="00186330">
                          <w:rPr>
                            <w:rFonts w:ascii="Arial" w:eastAsia="Times New Roman" w:hAnsi="Arial" w:cs="Arial"/>
                            <w:b/>
                            <w:bCs/>
                            <w:color w:val="000000"/>
                            <w:sz w:val="17"/>
                            <w:lang w:eastAsia="ru-RU"/>
                          </w:rPr>
                          <w:t> </w:t>
                        </w:r>
                        <w:r w:rsidRPr="00186330">
                          <w:rPr>
                            <w:rFonts w:ascii="Arial Unicode" w:eastAsia="Times New Roman" w:hAnsi="Arial Unicode" w:cs="Times New Roman"/>
                            <w:b/>
                            <w:bCs/>
                            <w:color w:val="000000"/>
                            <w:sz w:val="17"/>
                            <w:lang w:eastAsia="ru-RU"/>
                          </w:rPr>
                          <w:t>ո ր ո շ ու մ է.</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1. Սահմանել, որ Լեռնային Ղարաբաղի Հանրապետության կառավարության 2004 թվականի հուլիսի 30-ի «Առանց ծնողական խնամքի մնացած երեխաներին բնակարան տրամադրելու կարգը հաստատելու մասին» թիվ 274 որոշման համաձայն առանց ծնողական խնամքի մնացած երեխաների համար գնված բնակարանների կահավորման նպատակով՝ «Գնումների մասին» Լեռնային Ղարաբաղի Հանրապետության օրենքին համապատասխան Լեռնային Ղարաբաղի Հանրապետության պետական բյուջեի միջոցների հաշվին ձեռք են բերվում գույք, կենցաղային սարքավորումներ և այլ պիտույքներ (այսուհետ՝ գույք), որի պատվիրատուն հանդիսանում է Լեռնային Ղարաբաղի Հանրապետության սոցիալական ապահովության նախարարությունը:</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2. Գույքի կազմը և չափը որոշվում է Լեռնային Ղարաբաղի Հանրապետության սոցիալական ապահովության նախարարության կողմից` յուրաքանչյուր բնակարանի համար առանձին` 2500000 (երկու միլիոն հինգ հարյուր հազար) դրամից ոչ ավելի գումարի չափով:</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b/>
                            <w:bCs/>
                            <w:i/>
                            <w:iCs/>
                            <w:color w:val="000000"/>
                            <w:sz w:val="17"/>
                            <w:lang w:eastAsia="ru-RU"/>
                          </w:rPr>
                          <w:t>(2-րդ կետը փոփ. 27.09.2011 N 710-Ն)</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Unicode" w:eastAsia="Times New Roman" w:hAnsi="Arial Unicode" w:cs="Times New Roman"/>
                            <w:color w:val="000000"/>
                            <w:sz w:val="17"/>
                            <w:szCs w:val="21"/>
                            <w:lang w:eastAsia="ru-RU"/>
                          </w:rPr>
                          <w:t>3. Սույն որոշման գործողությունը տարածվում է 2008 թվականի հունվարի 1-ից հետո ծագած հարաբերությունների վրա:</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p w:rsidR="00186330" w:rsidRPr="00186330" w:rsidRDefault="00186330" w:rsidP="00186330">
                        <w:pPr>
                          <w:shd w:val="clear" w:color="auto" w:fill="FFFFFF"/>
                          <w:spacing w:after="0" w:line="240" w:lineRule="auto"/>
                          <w:ind w:firstLine="375"/>
                          <w:rPr>
                            <w:rFonts w:ascii="Arial Unicode" w:eastAsia="Times New Roman" w:hAnsi="Arial Unicode" w:cs="Times New Roman"/>
                            <w:color w:val="000000"/>
                            <w:sz w:val="17"/>
                            <w:szCs w:val="21"/>
                            <w:lang w:eastAsia="ru-RU"/>
                          </w:rPr>
                        </w:pPr>
                        <w:r w:rsidRPr="00186330">
                          <w:rPr>
                            <w:rFonts w:ascii="Arial" w:eastAsia="Times New Roman" w:hAnsi="Arial" w:cs="Arial"/>
                            <w:color w:val="000000"/>
                            <w:sz w:val="17"/>
                            <w:szCs w:val="21"/>
                            <w:lang w:eastAsia="ru-RU"/>
                          </w:rPr>
                          <w:t> </w:t>
                        </w:r>
                      </w:p>
                      <w:tbl>
                        <w:tblPr>
                          <w:tblW w:w="5000" w:type="pct"/>
                          <w:tblCellSpacing w:w="7" w:type="dxa"/>
                          <w:shd w:val="clear" w:color="auto" w:fill="FFFFFF"/>
                          <w:tblCellMar>
                            <w:left w:w="0" w:type="dxa"/>
                            <w:right w:w="0" w:type="dxa"/>
                          </w:tblCellMar>
                          <w:tblLook w:val="04A0"/>
                        </w:tblPr>
                        <w:tblGrid>
                          <w:gridCol w:w="4521"/>
                          <w:gridCol w:w="6519"/>
                        </w:tblGrid>
                        <w:tr w:rsidR="00186330" w:rsidRPr="00186330" w:rsidTr="00186330">
                          <w:trPr>
                            <w:tblCellSpacing w:w="7" w:type="dxa"/>
                          </w:trPr>
                          <w:tc>
                            <w:tcPr>
                              <w:tcW w:w="4500" w:type="dxa"/>
                              <w:shd w:val="clear" w:color="auto" w:fill="FFFFFF"/>
                              <w:vAlign w:val="center"/>
                              <w:hideMark/>
                            </w:tcPr>
                            <w:p w:rsidR="00186330" w:rsidRPr="00186330" w:rsidRDefault="00186330" w:rsidP="00186330">
                              <w:pPr>
                                <w:spacing w:after="0" w:line="240" w:lineRule="auto"/>
                                <w:rPr>
                                  <w:rFonts w:ascii="Arial Unicode" w:eastAsia="Times New Roman" w:hAnsi="Arial Unicode" w:cs="Times New Roman"/>
                                  <w:b/>
                                  <w:bCs/>
                                  <w:color w:val="000000"/>
                                  <w:sz w:val="17"/>
                                  <w:szCs w:val="21"/>
                                  <w:lang w:eastAsia="ru-RU"/>
                                </w:rPr>
                              </w:pPr>
                              <w:r w:rsidRPr="00186330">
                                <w:rPr>
                                  <w:rFonts w:ascii="Arial" w:eastAsia="Times New Roman" w:hAnsi="Arial" w:cs="Arial"/>
                                  <w:b/>
                                  <w:bCs/>
                                  <w:color w:val="000000"/>
                                  <w:sz w:val="17"/>
                                  <w:szCs w:val="21"/>
                                  <w:lang w:eastAsia="ru-RU"/>
                                </w:rPr>
                                <w:t>   </w:t>
                              </w:r>
                              <w:r w:rsidRPr="00186330">
                                <w:rPr>
                                  <w:rFonts w:ascii="Arial Unicode" w:eastAsia="Times New Roman" w:hAnsi="Arial Unicode" w:cs="Arial Unicode"/>
                                  <w:b/>
                                  <w:bCs/>
                                  <w:color w:val="000000"/>
                                  <w:sz w:val="17"/>
                                  <w:szCs w:val="21"/>
                                  <w:lang w:eastAsia="ru-RU"/>
                                </w:rPr>
                                <w:t xml:space="preserve"> ԼԵՌՆԱՅԻՆ ՂԱՐԱԲԱՂ</w:t>
                              </w:r>
                              <w:r w:rsidRPr="00186330">
                                <w:rPr>
                                  <w:rFonts w:ascii="Arial Unicode" w:eastAsia="Times New Roman" w:hAnsi="Arial Unicode" w:cs="Times New Roman"/>
                                  <w:b/>
                                  <w:bCs/>
                                  <w:color w:val="000000"/>
                                  <w:sz w:val="17"/>
                                  <w:szCs w:val="21"/>
                                  <w:lang w:eastAsia="ru-RU"/>
                                </w:rPr>
                                <w:t>Ի</w:t>
                              </w:r>
                            </w:p>
                            <w:p w:rsidR="00186330" w:rsidRPr="00186330" w:rsidRDefault="00186330" w:rsidP="00186330">
                              <w:pPr>
                                <w:spacing w:after="0" w:line="240" w:lineRule="auto"/>
                                <w:rPr>
                                  <w:rFonts w:ascii="Arial Unicode" w:eastAsia="Times New Roman" w:hAnsi="Arial Unicode" w:cs="Times New Roman"/>
                                  <w:color w:val="000000"/>
                                  <w:sz w:val="17"/>
                                  <w:szCs w:val="21"/>
                                  <w:lang w:eastAsia="ru-RU"/>
                                </w:rPr>
                              </w:pPr>
                              <w:r w:rsidRPr="00186330">
                                <w:rPr>
                                  <w:rFonts w:ascii="Arial" w:eastAsia="Times New Roman" w:hAnsi="Arial" w:cs="Arial"/>
                                  <w:b/>
                                  <w:bCs/>
                                  <w:color w:val="000000"/>
                                  <w:sz w:val="17"/>
                                  <w:szCs w:val="21"/>
                                  <w:lang w:eastAsia="ru-RU"/>
                                </w:rPr>
                                <w:t>   </w:t>
                              </w:r>
                              <w:r w:rsidRPr="00186330">
                                <w:rPr>
                                  <w:rFonts w:ascii="Arial Unicode" w:eastAsia="Times New Roman" w:hAnsi="Arial Unicode" w:cs="Arial Unicode"/>
                                  <w:b/>
                                  <w:bCs/>
                                  <w:color w:val="000000"/>
                                  <w:sz w:val="17"/>
                                  <w:szCs w:val="21"/>
                                  <w:lang w:eastAsia="ru-RU"/>
                                </w:rPr>
                                <w:t xml:space="preserve"> ՀԱՆՐԱՊԵՏՈՒԹՅԱՆ ՎԱՐՉԱՊԵ</w:t>
                              </w:r>
                              <w:r w:rsidRPr="00186330">
                                <w:rPr>
                                  <w:rFonts w:ascii="Arial Unicode" w:eastAsia="Times New Roman" w:hAnsi="Arial Unicode" w:cs="Times New Roman"/>
                                  <w:b/>
                                  <w:bCs/>
                                  <w:color w:val="000000"/>
                                  <w:sz w:val="17"/>
                                  <w:szCs w:val="21"/>
                                  <w:lang w:eastAsia="ru-RU"/>
                                </w:rPr>
                                <w:t>Տ</w:t>
                              </w:r>
                            </w:p>
                          </w:tc>
                          <w:tc>
                            <w:tcPr>
                              <w:tcW w:w="0" w:type="auto"/>
                              <w:shd w:val="clear" w:color="auto" w:fill="FFFFFF"/>
                              <w:vAlign w:val="bottom"/>
                              <w:hideMark/>
                            </w:tcPr>
                            <w:p w:rsidR="00186330" w:rsidRPr="00186330" w:rsidRDefault="00186330" w:rsidP="00186330">
                              <w:pPr>
                                <w:spacing w:before="100" w:beforeAutospacing="1" w:after="100" w:afterAutospacing="1" w:line="240" w:lineRule="auto"/>
                                <w:jc w:val="center"/>
                                <w:rPr>
                                  <w:rFonts w:ascii="Arial Unicode" w:eastAsia="Times New Roman" w:hAnsi="Arial Unicode" w:cs="Times New Roman"/>
                                  <w:b/>
                                  <w:bCs/>
                                  <w:color w:val="000000"/>
                                  <w:sz w:val="17"/>
                                  <w:szCs w:val="21"/>
                                  <w:lang w:eastAsia="ru-RU"/>
                                </w:rPr>
                              </w:pPr>
                              <w:r w:rsidRPr="00186330">
                                <w:rPr>
                                  <w:rFonts w:ascii="Arial Unicode" w:eastAsia="Times New Roman" w:hAnsi="Arial Unicode" w:cs="Times New Roman"/>
                                  <w:b/>
                                  <w:bCs/>
                                  <w:color w:val="000000"/>
                                  <w:sz w:val="17"/>
                                  <w:lang w:eastAsia="ru-RU"/>
                                </w:rPr>
                                <w:t>Ա. ՀԱՐՈՒԹՅՈՒՆՅԱՆ</w:t>
                              </w:r>
                            </w:p>
                          </w:tc>
                        </w:tr>
                      </w:tbl>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bl>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bl>
          <w:p w:rsidR="00186330" w:rsidRPr="00186330" w:rsidRDefault="00186330" w:rsidP="00186330">
            <w:pPr>
              <w:spacing w:after="0" w:line="240" w:lineRule="auto"/>
              <w:rPr>
                <w:rFonts w:ascii="Arial Unicode" w:eastAsia="Times New Roman" w:hAnsi="Arial Unicode" w:cs="Times New Roman"/>
                <w:sz w:val="17"/>
                <w:szCs w:val="21"/>
                <w:lang w:eastAsia="ru-RU"/>
              </w:rPr>
            </w:pPr>
          </w:p>
        </w:tc>
      </w:tr>
    </w:tbl>
    <w:p w:rsidR="00AB5C7A" w:rsidRPr="00186330" w:rsidRDefault="00B679B5">
      <w:pPr>
        <w:rPr>
          <w:sz w:val="18"/>
        </w:rPr>
      </w:pPr>
    </w:p>
    <w:p w:rsidR="00186330" w:rsidRPr="00186330" w:rsidRDefault="00186330">
      <w:pPr>
        <w:rPr>
          <w:sz w:val="18"/>
        </w:rPr>
      </w:pPr>
    </w:p>
    <w:sectPr w:rsidR="00186330" w:rsidRPr="00186330" w:rsidSect="0029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330"/>
    <w:rsid w:val="00186330"/>
    <w:rsid w:val="00212721"/>
    <w:rsid w:val="00297065"/>
    <w:rsid w:val="00640D2D"/>
    <w:rsid w:val="006B44E5"/>
    <w:rsid w:val="00B6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6330"/>
  </w:style>
  <w:style w:type="character" w:customStyle="1" w:styleId="showhide">
    <w:name w:val="showhide"/>
    <w:basedOn w:val="a0"/>
    <w:rsid w:val="00186330"/>
  </w:style>
  <w:style w:type="paragraph" w:styleId="a3">
    <w:name w:val="Normal (Web)"/>
    <w:basedOn w:val="a"/>
    <w:uiPriority w:val="99"/>
    <w:unhideWhenUsed/>
    <w:rsid w:val="0018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6330"/>
    <w:rPr>
      <w:b/>
      <w:bCs/>
    </w:rPr>
  </w:style>
  <w:style w:type="character" w:styleId="a5">
    <w:name w:val="Emphasis"/>
    <w:basedOn w:val="a0"/>
    <w:uiPriority w:val="20"/>
    <w:qFormat/>
    <w:rsid w:val="00186330"/>
    <w:rPr>
      <w:i/>
      <w:iCs/>
    </w:rPr>
  </w:style>
  <w:style w:type="paragraph" w:styleId="a6">
    <w:name w:val="Balloon Text"/>
    <w:basedOn w:val="a"/>
    <w:link w:val="a7"/>
    <w:uiPriority w:val="99"/>
    <w:semiHidden/>
    <w:unhideWhenUsed/>
    <w:rsid w:val="001863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31013">
      <w:bodyDiv w:val="1"/>
      <w:marLeft w:val="0"/>
      <w:marRight w:val="0"/>
      <w:marTop w:val="0"/>
      <w:marBottom w:val="0"/>
      <w:divBdr>
        <w:top w:val="none" w:sz="0" w:space="0" w:color="auto"/>
        <w:left w:val="none" w:sz="0" w:space="0" w:color="auto"/>
        <w:bottom w:val="none" w:sz="0" w:space="0" w:color="auto"/>
        <w:right w:val="none" w:sz="0" w:space="0" w:color="auto"/>
      </w:divBdr>
      <w:divsChild>
        <w:div w:id="1646199725">
          <w:marLeft w:val="0"/>
          <w:marRight w:val="0"/>
          <w:marTop w:val="0"/>
          <w:marBottom w:val="150"/>
          <w:divBdr>
            <w:top w:val="none" w:sz="0" w:space="0" w:color="auto"/>
            <w:left w:val="none" w:sz="0" w:space="0" w:color="auto"/>
            <w:bottom w:val="none" w:sz="0" w:space="0" w:color="auto"/>
            <w:right w:val="none" w:sz="0" w:space="0" w:color="auto"/>
          </w:divBdr>
        </w:div>
        <w:div w:id="2144691467">
          <w:marLeft w:val="0"/>
          <w:marRight w:val="0"/>
          <w:marTop w:val="0"/>
          <w:marBottom w:val="0"/>
          <w:divBdr>
            <w:top w:val="none" w:sz="0" w:space="0" w:color="auto"/>
            <w:left w:val="none" w:sz="0" w:space="0" w:color="auto"/>
            <w:bottom w:val="none" w:sz="0" w:space="0" w:color="auto"/>
            <w:right w:val="none" w:sz="0" w:space="0" w:color="auto"/>
          </w:divBdr>
          <w:divsChild>
            <w:div w:id="294681535">
              <w:marLeft w:val="0"/>
              <w:marRight w:val="0"/>
              <w:marTop w:val="0"/>
              <w:marBottom w:val="0"/>
              <w:divBdr>
                <w:top w:val="none" w:sz="0" w:space="0" w:color="auto"/>
                <w:left w:val="none" w:sz="0" w:space="0" w:color="auto"/>
                <w:bottom w:val="none" w:sz="0" w:space="0" w:color="auto"/>
                <w:right w:val="none" w:sz="0" w:space="0" w:color="auto"/>
              </w:divBdr>
            </w:div>
            <w:div w:id="183832379">
              <w:marLeft w:val="0"/>
              <w:marRight w:val="0"/>
              <w:marTop w:val="0"/>
              <w:marBottom w:val="0"/>
              <w:divBdr>
                <w:top w:val="none" w:sz="0" w:space="0" w:color="auto"/>
                <w:left w:val="none" w:sz="0" w:space="0" w:color="auto"/>
                <w:bottom w:val="none" w:sz="0" w:space="0" w:color="auto"/>
                <w:right w:val="none" w:sz="0" w:space="0" w:color="auto"/>
              </w:divBdr>
            </w:div>
            <w:div w:id="1380469532">
              <w:marLeft w:val="0"/>
              <w:marRight w:val="0"/>
              <w:marTop w:val="0"/>
              <w:marBottom w:val="0"/>
              <w:divBdr>
                <w:top w:val="none" w:sz="0" w:space="0" w:color="auto"/>
                <w:left w:val="none" w:sz="0" w:space="0" w:color="auto"/>
                <w:bottom w:val="none" w:sz="0" w:space="0" w:color="auto"/>
                <w:right w:val="none" w:sz="0" w:space="0" w:color="auto"/>
              </w:divBdr>
            </w:div>
            <w:div w:id="189299715">
              <w:marLeft w:val="0"/>
              <w:marRight w:val="0"/>
              <w:marTop w:val="0"/>
              <w:marBottom w:val="0"/>
              <w:divBdr>
                <w:top w:val="none" w:sz="0" w:space="0" w:color="auto"/>
                <w:left w:val="none" w:sz="0" w:space="0" w:color="auto"/>
                <w:bottom w:val="none" w:sz="0" w:space="0" w:color="auto"/>
                <w:right w:val="none" w:sz="0" w:space="0" w:color="auto"/>
              </w:divBdr>
            </w:div>
            <w:div w:id="1005942229">
              <w:marLeft w:val="0"/>
              <w:marRight w:val="0"/>
              <w:marTop w:val="0"/>
              <w:marBottom w:val="0"/>
              <w:divBdr>
                <w:top w:val="none" w:sz="0" w:space="0" w:color="auto"/>
                <w:left w:val="none" w:sz="0" w:space="0" w:color="auto"/>
                <w:bottom w:val="none" w:sz="0" w:space="0" w:color="auto"/>
                <w:right w:val="none" w:sz="0" w:space="0" w:color="auto"/>
              </w:divBdr>
            </w:div>
            <w:div w:id="396517829">
              <w:marLeft w:val="0"/>
              <w:marRight w:val="0"/>
              <w:marTop w:val="0"/>
              <w:marBottom w:val="0"/>
              <w:divBdr>
                <w:top w:val="none" w:sz="0" w:space="0" w:color="auto"/>
                <w:left w:val="none" w:sz="0" w:space="0" w:color="auto"/>
                <w:bottom w:val="none" w:sz="0" w:space="0" w:color="auto"/>
                <w:right w:val="none" w:sz="0" w:space="0" w:color="auto"/>
              </w:divBdr>
            </w:div>
            <w:div w:id="1667897190">
              <w:marLeft w:val="0"/>
              <w:marRight w:val="0"/>
              <w:marTop w:val="0"/>
              <w:marBottom w:val="0"/>
              <w:divBdr>
                <w:top w:val="none" w:sz="0" w:space="0" w:color="auto"/>
                <w:left w:val="none" w:sz="0" w:space="0" w:color="auto"/>
                <w:bottom w:val="none" w:sz="0" w:space="0" w:color="auto"/>
                <w:right w:val="none" w:sz="0" w:space="0" w:color="auto"/>
              </w:divBdr>
            </w:div>
            <w:div w:id="925728087">
              <w:marLeft w:val="0"/>
              <w:marRight w:val="0"/>
              <w:marTop w:val="0"/>
              <w:marBottom w:val="0"/>
              <w:divBdr>
                <w:top w:val="none" w:sz="0" w:space="0" w:color="auto"/>
                <w:left w:val="none" w:sz="0" w:space="0" w:color="auto"/>
                <w:bottom w:val="none" w:sz="0" w:space="0" w:color="auto"/>
                <w:right w:val="none" w:sz="0" w:space="0" w:color="auto"/>
              </w:divBdr>
            </w:div>
            <w:div w:id="497039991">
              <w:marLeft w:val="0"/>
              <w:marRight w:val="0"/>
              <w:marTop w:val="0"/>
              <w:marBottom w:val="0"/>
              <w:divBdr>
                <w:top w:val="none" w:sz="0" w:space="0" w:color="auto"/>
                <w:left w:val="none" w:sz="0" w:space="0" w:color="auto"/>
                <w:bottom w:val="none" w:sz="0" w:space="0" w:color="auto"/>
                <w:right w:val="none" w:sz="0" w:space="0" w:color="auto"/>
              </w:divBdr>
            </w:div>
            <w:div w:id="100609465">
              <w:marLeft w:val="0"/>
              <w:marRight w:val="0"/>
              <w:marTop w:val="0"/>
              <w:marBottom w:val="0"/>
              <w:divBdr>
                <w:top w:val="none" w:sz="0" w:space="0" w:color="auto"/>
                <w:left w:val="none" w:sz="0" w:space="0" w:color="auto"/>
                <w:bottom w:val="none" w:sz="0" w:space="0" w:color="auto"/>
                <w:right w:val="none" w:sz="0" w:space="0" w:color="auto"/>
              </w:divBdr>
            </w:div>
            <w:div w:id="643319929">
              <w:marLeft w:val="0"/>
              <w:marRight w:val="0"/>
              <w:marTop w:val="0"/>
              <w:marBottom w:val="0"/>
              <w:divBdr>
                <w:top w:val="none" w:sz="0" w:space="0" w:color="auto"/>
                <w:left w:val="none" w:sz="0" w:space="0" w:color="auto"/>
                <w:bottom w:val="none" w:sz="0" w:space="0" w:color="auto"/>
                <w:right w:val="none" w:sz="0" w:space="0" w:color="auto"/>
              </w:divBdr>
            </w:div>
            <w:div w:id="1929194510">
              <w:marLeft w:val="0"/>
              <w:marRight w:val="0"/>
              <w:marTop w:val="0"/>
              <w:marBottom w:val="0"/>
              <w:divBdr>
                <w:top w:val="none" w:sz="0" w:space="0" w:color="auto"/>
                <w:left w:val="none" w:sz="0" w:space="0" w:color="auto"/>
                <w:bottom w:val="none" w:sz="0" w:space="0" w:color="auto"/>
                <w:right w:val="none" w:sz="0" w:space="0" w:color="auto"/>
              </w:divBdr>
            </w:div>
            <w:div w:id="905409605">
              <w:marLeft w:val="0"/>
              <w:marRight w:val="0"/>
              <w:marTop w:val="0"/>
              <w:marBottom w:val="0"/>
              <w:divBdr>
                <w:top w:val="none" w:sz="0" w:space="0" w:color="auto"/>
                <w:left w:val="none" w:sz="0" w:space="0" w:color="auto"/>
                <w:bottom w:val="none" w:sz="0" w:space="0" w:color="auto"/>
                <w:right w:val="none" w:sz="0" w:space="0" w:color="auto"/>
              </w:divBdr>
            </w:div>
            <w:div w:id="857550311">
              <w:marLeft w:val="0"/>
              <w:marRight w:val="0"/>
              <w:marTop w:val="0"/>
              <w:marBottom w:val="0"/>
              <w:divBdr>
                <w:top w:val="none" w:sz="0" w:space="0" w:color="auto"/>
                <w:left w:val="none" w:sz="0" w:space="0" w:color="auto"/>
                <w:bottom w:val="none" w:sz="0" w:space="0" w:color="auto"/>
                <w:right w:val="none" w:sz="0" w:space="0" w:color="auto"/>
              </w:divBdr>
            </w:div>
            <w:div w:id="456677826">
              <w:marLeft w:val="0"/>
              <w:marRight w:val="0"/>
              <w:marTop w:val="0"/>
              <w:marBottom w:val="0"/>
              <w:divBdr>
                <w:top w:val="none" w:sz="0" w:space="0" w:color="auto"/>
                <w:left w:val="none" w:sz="0" w:space="0" w:color="auto"/>
                <w:bottom w:val="none" w:sz="0" w:space="0" w:color="auto"/>
                <w:right w:val="none" w:sz="0" w:space="0" w:color="auto"/>
              </w:divBdr>
            </w:div>
            <w:div w:id="87240735">
              <w:marLeft w:val="0"/>
              <w:marRight w:val="0"/>
              <w:marTop w:val="0"/>
              <w:marBottom w:val="0"/>
              <w:divBdr>
                <w:top w:val="none" w:sz="0" w:space="0" w:color="auto"/>
                <w:left w:val="none" w:sz="0" w:space="0" w:color="auto"/>
                <w:bottom w:val="none" w:sz="0" w:space="0" w:color="auto"/>
                <w:right w:val="none" w:sz="0" w:space="0" w:color="auto"/>
              </w:divBdr>
            </w:div>
            <w:div w:id="480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Reanimator Extreme Edition</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2018-02-05T10:35:00Z</dcterms:created>
  <dcterms:modified xsi:type="dcterms:W3CDTF">2018-02-05T12:10:00Z</dcterms:modified>
</cp:coreProperties>
</file>