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8E" w:rsidRDefault="00002F8E" w:rsidP="00002F8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Tahoma" w:hAnsi="Tahoma" w:cs="Tahoma"/>
          <w:color w:val="3F3F3F"/>
          <w:sz w:val="17"/>
          <w:szCs w:val="17"/>
        </w:rPr>
      </w:pPr>
      <w:r>
        <w:rPr>
          <w:b/>
          <w:bCs/>
          <w:color w:val="3F3F3F"/>
        </w:rPr>
        <w:br/>
      </w:r>
      <w:r>
        <w:rPr>
          <w:rStyle w:val="a4"/>
          <w:color w:val="3F3F3F"/>
        </w:rPr>
        <w:t>ԼՂՀ ԱՇԽԱՏԱՇՈՒԿԱՅԻ ՎԻՃԱԿԸ</w:t>
      </w:r>
    </w:p>
    <w:p w:rsidR="00002F8E" w:rsidRDefault="00002F8E" w:rsidP="00002F8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Tahoma" w:hAnsi="Tahoma" w:cs="Tahoma"/>
          <w:color w:val="3F3F3F"/>
          <w:sz w:val="17"/>
          <w:szCs w:val="17"/>
        </w:rPr>
      </w:pPr>
      <w:r>
        <w:rPr>
          <w:rStyle w:val="a4"/>
          <w:color w:val="3F3F3F"/>
          <w:sz w:val="20"/>
          <w:szCs w:val="20"/>
        </w:rPr>
        <w:t>2012 </w:t>
      </w:r>
      <w:r>
        <w:rPr>
          <w:rStyle w:val="a4"/>
          <w:rFonts w:ascii="Sylfaen" w:hAnsi="Sylfaen" w:cs="Tahoma"/>
          <w:color w:val="3F3F3F"/>
          <w:sz w:val="20"/>
          <w:szCs w:val="20"/>
        </w:rPr>
        <w:t>Թ</w:t>
      </w:r>
      <w:r>
        <w:rPr>
          <w:rStyle w:val="a4"/>
          <w:color w:val="3F3F3F"/>
          <w:sz w:val="20"/>
          <w:szCs w:val="20"/>
        </w:rPr>
        <w:t>. ՀՈՒՆՎԱ</w:t>
      </w:r>
      <w:r>
        <w:rPr>
          <w:rStyle w:val="a4"/>
          <w:rFonts w:ascii="Sylfaen" w:hAnsi="Sylfaen" w:cs="Tahoma"/>
          <w:color w:val="3F3F3F"/>
          <w:sz w:val="20"/>
          <w:szCs w:val="20"/>
        </w:rPr>
        <w:t>ՐԻ</w:t>
      </w:r>
      <w:r>
        <w:rPr>
          <w:rStyle w:val="a4"/>
          <w:color w:val="3F3F3F"/>
          <w:sz w:val="20"/>
          <w:szCs w:val="20"/>
        </w:rPr>
        <w:t> 1-</w:t>
      </w:r>
      <w:r>
        <w:rPr>
          <w:rStyle w:val="a4"/>
          <w:rFonts w:ascii="Sylfaen" w:hAnsi="Sylfaen" w:cs="Tahoma"/>
          <w:color w:val="3F3F3F"/>
          <w:sz w:val="20"/>
          <w:szCs w:val="20"/>
        </w:rPr>
        <w:t>Ի</w:t>
      </w:r>
      <w:r>
        <w:rPr>
          <w:rStyle w:val="a4"/>
          <w:color w:val="3F3F3F"/>
          <w:sz w:val="20"/>
          <w:szCs w:val="20"/>
        </w:rPr>
        <w:t> </w:t>
      </w:r>
      <w:r>
        <w:rPr>
          <w:rStyle w:val="a4"/>
          <w:rFonts w:ascii="Sylfaen" w:hAnsi="Sylfaen" w:cs="Tahoma"/>
          <w:color w:val="3F3F3F"/>
          <w:sz w:val="20"/>
          <w:szCs w:val="20"/>
        </w:rPr>
        <w:t>ԴՐՈՒԹՅԱՄԲ</w:t>
      </w:r>
    </w:p>
    <w:p w:rsidR="00002F8E" w:rsidRDefault="00002F8E" w:rsidP="00002F8E">
      <w:pPr>
        <w:pStyle w:val="a3"/>
        <w:shd w:val="clear" w:color="auto" w:fill="F5F5F5"/>
        <w:spacing w:before="0" w:beforeAutospacing="0" w:after="0" w:afterAutospacing="0"/>
        <w:jc w:val="both"/>
        <w:rPr>
          <w:rFonts w:ascii="Tahoma" w:hAnsi="Tahoma" w:cs="Tahoma"/>
          <w:color w:val="3F3F3F"/>
          <w:sz w:val="17"/>
          <w:szCs w:val="17"/>
        </w:rPr>
      </w:pPr>
      <w:r>
        <w:rPr>
          <w:rFonts w:ascii="Tahoma" w:hAnsi="Tahoma" w:cs="Tahoma"/>
          <w:color w:val="3F3F3F"/>
          <w:sz w:val="17"/>
          <w:szCs w:val="17"/>
        </w:rPr>
        <w:t> </w:t>
      </w:r>
    </w:p>
    <w:p w:rsidR="00002F8E" w:rsidRDefault="00002F8E" w:rsidP="00002F8E">
      <w:pPr>
        <w:pStyle w:val="a3"/>
        <w:shd w:val="clear" w:color="auto" w:fill="F5F5F5"/>
        <w:spacing w:before="0" w:beforeAutospacing="0" w:after="0" w:afterAutospacing="0"/>
        <w:jc w:val="both"/>
        <w:rPr>
          <w:rFonts w:ascii="Tahoma" w:hAnsi="Tahoma" w:cs="Tahoma"/>
          <w:color w:val="3F3F3F"/>
          <w:sz w:val="17"/>
          <w:szCs w:val="17"/>
        </w:rPr>
      </w:pPr>
      <w:proofErr w:type="spellStart"/>
      <w:r>
        <w:rPr>
          <w:rFonts w:ascii="Tahoma" w:hAnsi="Tahoma" w:cs="Tahoma"/>
          <w:color w:val="3F3F3F"/>
          <w:sz w:val="20"/>
          <w:szCs w:val="20"/>
        </w:rPr>
        <w:t>Աշխատանք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փնտրող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անձանց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թվաքանակը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հանրապետությունում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կազմում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է 3503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մարդ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որոնցից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3307-ը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կանայք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Նախորդ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տարվա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համեմատ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այդ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ցուցանիշը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նվազել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է 124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մարդով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(2011թ.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հունվարի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1-ի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դրությամբ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աշխատանք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փնտրող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անձանց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թվաքանակը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կազմում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էր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3627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մարդ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որից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3384`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կանայք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): 2012 թ.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հունվարի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1-ի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դրությամբ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չզբաղված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քաղաքացիների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թիվը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կազմում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է 3494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մարդ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որոնց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94.8%-ը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կամ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3313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մարդ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ստացել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է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գործազուրկի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կարգավիճակ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Չզբաղված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քաղաքացիների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թվաքանակը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նախորդ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տարվա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նույն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ժամանակաշրջանի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նկատմամբ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նվազել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է 3.4 %-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ով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>:</w:t>
      </w:r>
      <w:r>
        <w:rPr>
          <w:rFonts w:ascii="Tahoma" w:hAnsi="Tahoma" w:cs="Tahoma"/>
          <w:color w:val="3F3F3F"/>
          <w:sz w:val="20"/>
          <w:szCs w:val="20"/>
        </w:rPr>
        <w:br/>
        <w:t xml:space="preserve">2011թ. </w:t>
      </w:r>
      <w:proofErr w:type="spellStart"/>
      <w:proofErr w:type="gramStart"/>
      <w:r>
        <w:rPr>
          <w:rFonts w:ascii="Tahoma" w:hAnsi="Tahoma" w:cs="Tahoma"/>
          <w:color w:val="3F3F3F"/>
          <w:sz w:val="20"/>
          <w:szCs w:val="20"/>
        </w:rPr>
        <w:t>գործազուրկի</w:t>
      </w:r>
      <w:proofErr w:type="spellEnd"/>
      <w:proofErr w:type="gram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կարգավիճակ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է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ստացել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660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մարդ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հաշվառումից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հանվել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է 792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մարդ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որից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` 13.6%-ն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աշխատանքի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տեղավորման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պատճառով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>:</w:t>
      </w:r>
      <w:r>
        <w:rPr>
          <w:rFonts w:ascii="Tahoma" w:hAnsi="Tahoma" w:cs="Tahoma"/>
          <w:color w:val="3F3F3F"/>
          <w:sz w:val="20"/>
          <w:szCs w:val="20"/>
        </w:rPr>
        <w:br/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Գրանցված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3313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գործազուրկներից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միայն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11.1%-ն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հանդիսանում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նպաստառու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(369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անձ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>): </w:t>
      </w:r>
      <w:r>
        <w:rPr>
          <w:rFonts w:ascii="Tahoma" w:hAnsi="Tahoma" w:cs="Tahoma"/>
          <w:color w:val="3F3F3F"/>
          <w:sz w:val="20"/>
          <w:szCs w:val="20"/>
        </w:rPr>
        <w:br/>
        <w:t xml:space="preserve">2011թ.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ընթացքում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աշխատանքի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է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տեղավորվել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137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մարդ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որից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108-ը`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գործազուրկ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Նախորդ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տարվա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համեմատ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այդ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ցուցանիշը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աճել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է 2-մարդով: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Աշխատանքի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տեղավորվածների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86.9 %-ը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կանայք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Տեղավորվածների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թիվը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առևտրի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և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հասարակական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սննդի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ՆՏՄ և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առաքում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մթերում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ոլորտում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` 21.2%,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շինարարության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ոլորտում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` 5.8%,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պետական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և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տեղական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ինքնակառավարման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ապարատում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` 19.7%,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կրթություն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10.2% 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մշակույթ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և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արվեստ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` 2.9% և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այլ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ճյուղերում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>` 40.2%:</w:t>
      </w:r>
      <w:r>
        <w:rPr>
          <w:rFonts w:ascii="Tahoma" w:hAnsi="Tahoma" w:cs="Tahoma"/>
          <w:color w:val="3F3F3F"/>
          <w:sz w:val="20"/>
          <w:szCs w:val="20"/>
        </w:rPr>
        <w:br/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Գործազուրկների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թվի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մեջ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մեծ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է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քաղաքային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բնակչության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տեսակարար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կշիռը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`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շուրջ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94.5%: </w:t>
      </w:r>
      <w:r>
        <w:rPr>
          <w:rFonts w:ascii="Tahoma" w:hAnsi="Tahoma" w:cs="Tahoma"/>
          <w:color w:val="3F3F3F"/>
          <w:sz w:val="20"/>
          <w:szCs w:val="20"/>
        </w:rPr>
        <w:br/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Գործազուրկների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տարիքային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ցենզը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դիտարկվող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ժամանակահատվածում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հետևյալն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է`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գործազուրկների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թվի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0.2 %-ը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պատկանում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է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մինչև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18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տարեկան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տարիքային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խմբին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2.5%-ը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պատկանում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է 18-22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տարիքային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խմբին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`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նախորդ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տարվա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5.1%-ի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փոխարեն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30.1%-ը` 22-30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տարիքային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խմբին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`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նախորդ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տարվա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37.1%-ի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փոխարեն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50.2 %-ը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պատկանում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է 30-50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տարիքային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խմբին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`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նախորդ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տարվա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48.1%-ի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փոխարեն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և 17.0 %-ը` 50-ից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բարձր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տարիքային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խմբին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նախորդ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տարվա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9.7%-ի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փոխարեն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>:</w:t>
      </w:r>
      <w:r>
        <w:rPr>
          <w:rFonts w:ascii="Tahoma" w:hAnsi="Tahoma" w:cs="Tahoma"/>
          <w:color w:val="3F3F3F"/>
          <w:sz w:val="20"/>
          <w:szCs w:val="20"/>
        </w:rPr>
        <w:br/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Դիտարկելով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գործազուրկների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կրթական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ցենզը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արձանագրվել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է,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որ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բարձրագույն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կրթություն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ունեցողները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կազմել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գործազուրկների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ընդհանուր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թվի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16.7 %-ը`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նախորդ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տարվա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16.9 %-ի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փոխարեն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միջին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մասնագիտական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կրթություն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ունեցողները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` 30.3 %,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նախորդ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տարվա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32.5%-ի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փոխարեն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մնացած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մասը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կամ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53.0%-ը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կազմել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ընդհանուր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և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թերի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միջնակարգ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կրթություն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ունեցողները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նախորդ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տարվա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50.6 %-ի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փոխարեն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>:</w:t>
      </w:r>
      <w:r>
        <w:rPr>
          <w:rFonts w:ascii="Tahoma" w:hAnsi="Tahoma" w:cs="Tahoma"/>
          <w:color w:val="3F3F3F"/>
          <w:sz w:val="20"/>
          <w:szCs w:val="20"/>
        </w:rPr>
        <w:br/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Գործազուրկների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կառուցվածքի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ուսումնասիրությունն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ըստ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կրթության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ցույց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է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տալիս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որ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ընդհանուր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գործազուրկների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մեջ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2012թ.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հունվարի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1-ի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դրությամբ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ամենաբարձր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տեսակարար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կշիռներն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ունեն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միջնակարգ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լրիվ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)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ընդհանուր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և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միջին-մասնագիտական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կրթություն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ունեցող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գործազուրկները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համապատասխանաբար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` 53.1 և 30.3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տոկոսը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Գործազուրկների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մեջ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3.7%-ը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կազմում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մանկավարժները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նախորդ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տարվա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5.3 %-ի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փոխարեն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5.2 %-ը `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բուժքույրերը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` 5.4 %-ի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փոխարեն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10.9 %-ը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կազմում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տնտեսագետները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և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հաշվապահները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հիմնականում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միջին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մասնագիտական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կրթությամբ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)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նախորդ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տարվա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11.8%-ի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փոխարեն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7.6%-ը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կազմում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վաճառողները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նախորդ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տարվա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9.3%-ի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փոխարեն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60.4%-ը`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այլ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մասնագիտություններ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ունեցող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անձինք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նախորդ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տարվա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54.6 %-ի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փոխարեն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3.2%-ը`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մասնագիտություն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չունեցող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անձինք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նախորդ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տարվա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6.2 %-ի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փոխարեն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Գործազուրկների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մեջ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չնչին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տոկոս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կազմում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հետևյալ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մասնագիտություններ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ունեցող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անձիք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`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բժիշկ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վարորդ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փականագործ</w:t>
      </w:r>
      <w:proofErr w:type="spellEnd"/>
      <w:proofErr w:type="gramStart"/>
      <w:r>
        <w:rPr>
          <w:rFonts w:ascii="Tahoma" w:hAnsi="Tahoma" w:cs="Tahoma"/>
          <w:color w:val="3F3F3F"/>
          <w:sz w:val="20"/>
          <w:szCs w:val="20"/>
        </w:rPr>
        <w:t>:</w:t>
      </w:r>
      <w:proofErr w:type="gramEnd"/>
      <w:r>
        <w:rPr>
          <w:rFonts w:ascii="Tahoma" w:hAnsi="Tahoma" w:cs="Tahoma"/>
          <w:color w:val="3F3F3F"/>
          <w:sz w:val="20"/>
          <w:szCs w:val="20"/>
        </w:rPr>
        <w:br/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Մեկ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տարուց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ավելի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գործազուրկի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կարգավիճակ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ունեցող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անձանց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թվաքանակը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կազմում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է 35.3%,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որը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նախորդ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տարվա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համեմատ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նվազել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է 15.6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տոկոսային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կետով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>:</w:t>
      </w:r>
      <w:r>
        <w:rPr>
          <w:rFonts w:ascii="Tahoma" w:hAnsi="Tahoma" w:cs="Tahoma"/>
          <w:color w:val="3F3F3F"/>
          <w:sz w:val="20"/>
          <w:szCs w:val="20"/>
        </w:rPr>
        <w:br/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Ստեփանակերտ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քաղաքի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երեք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հաշմանդամներ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օգտվում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են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աշխատաշուկայում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անմրցունակ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խմբերի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աշխատավարձի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փոխհատուցման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F3F3F"/>
          <w:sz w:val="20"/>
          <w:szCs w:val="20"/>
        </w:rPr>
        <w:t>ծրագրից</w:t>
      </w:r>
      <w:proofErr w:type="spellEnd"/>
      <w:r>
        <w:rPr>
          <w:rFonts w:ascii="Tahoma" w:hAnsi="Tahoma" w:cs="Tahoma"/>
          <w:color w:val="3F3F3F"/>
          <w:sz w:val="20"/>
          <w:szCs w:val="20"/>
        </w:rPr>
        <w:t>:</w:t>
      </w:r>
    </w:p>
    <w:p w:rsidR="009C1250" w:rsidRPr="00002F8E" w:rsidRDefault="009C1250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9C1250" w:rsidRPr="0000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6F"/>
    <w:rsid w:val="00002F8E"/>
    <w:rsid w:val="009C1250"/>
    <w:rsid w:val="00A3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2F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2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2018-10-04T11:58:00Z</dcterms:created>
  <dcterms:modified xsi:type="dcterms:W3CDTF">2018-10-04T11:58:00Z</dcterms:modified>
</cp:coreProperties>
</file>