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7" w:rsidRPr="000E2FE7" w:rsidRDefault="000E2FE7" w:rsidP="000E2FE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GHEA Grapalat" w:hAnsi="GHEA Grapalat" w:cs="Tahoma"/>
          <w:color w:val="3F3F3F"/>
          <w:sz w:val="17"/>
          <w:szCs w:val="17"/>
        </w:rPr>
      </w:pPr>
      <w:r w:rsidRPr="000E2FE7">
        <w:rPr>
          <w:color w:val="3F3F3F"/>
          <w:sz w:val="20"/>
          <w:szCs w:val="20"/>
          <w:lang w:val="fr-FR"/>
        </w:rPr>
        <w:t> </w:t>
      </w:r>
      <w:r w:rsidRPr="000E2FE7">
        <w:rPr>
          <w:rStyle w:val="a4"/>
          <w:rFonts w:ascii="GHEA Grapalat" w:hAnsi="GHEA Grapalat"/>
          <w:color w:val="3F3F3F"/>
          <w:sz w:val="20"/>
          <w:szCs w:val="20"/>
          <w:lang w:val="fr-FR"/>
        </w:rPr>
        <w:t>2010</w:t>
      </w:r>
      <w:r w:rsidRPr="000E2FE7">
        <w:rPr>
          <w:rStyle w:val="a4"/>
          <w:rFonts w:ascii="GHEA Grapalat" w:hAnsi="GHEA Grapalat" w:cs="Tahoma"/>
          <w:color w:val="3F3F3F"/>
          <w:sz w:val="20"/>
          <w:szCs w:val="20"/>
        </w:rPr>
        <w:t>Թ</w:t>
      </w:r>
      <w:r w:rsidRPr="000E2FE7">
        <w:rPr>
          <w:rStyle w:val="a4"/>
          <w:rFonts w:ascii="GHEA Grapalat" w:hAnsi="GHEA Grapalat"/>
          <w:color w:val="3F3F3F"/>
          <w:sz w:val="20"/>
          <w:szCs w:val="20"/>
          <w:lang w:val="fr-FR"/>
        </w:rPr>
        <w:t>.</w:t>
      </w:r>
      <w:r w:rsidRPr="000E2FE7">
        <w:rPr>
          <w:rStyle w:val="a4"/>
          <w:color w:val="3F3F3F"/>
          <w:sz w:val="20"/>
          <w:szCs w:val="20"/>
          <w:lang w:val="fr-FR"/>
        </w:rPr>
        <w:t> </w:t>
      </w:r>
      <w:r w:rsidRPr="000E2FE7">
        <w:rPr>
          <w:rStyle w:val="a4"/>
          <w:rFonts w:ascii="GHEA Grapalat" w:hAnsi="GHEA Grapalat" w:cs="Tahoma"/>
          <w:color w:val="3F3F3F"/>
          <w:sz w:val="20"/>
          <w:szCs w:val="20"/>
        </w:rPr>
        <w:t>ՀՈՒՆՎԱՐԻ</w:t>
      </w:r>
      <w:r w:rsidRPr="000E2FE7">
        <w:rPr>
          <w:rStyle w:val="a4"/>
          <w:color w:val="3F3F3F"/>
          <w:sz w:val="20"/>
          <w:szCs w:val="20"/>
          <w:lang w:val="fr-FR"/>
        </w:rPr>
        <w:t> </w:t>
      </w:r>
      <w:r w:rsidRPr="000E2FE7">
        <w:rPr>
          <w:rStyle w:val="a4"/>
          <w:rFonts w:ascii="GHEA Grapalat" w:hAnsi="GHEA Grapalat"/>
          <w:color w:val="3F3F3F"/>
          <w:sz w:val="20"/>
          <w:szCs w:val="20"/>
          <w:lang w:val="fr-FR"/>
        </w:rPr>
        <w:t>1-</w:t>
      </w:r>
      <w:r w:rsidRPr="000E2FE7">
        <w:rPr>
          <w:rStyle w:val="a4"/>
          <w:rFonts w:ascii="GHEA Grapalat" w:hAnsi="GHEA Grapalat" w:cs="Tahoma"/>
          <w:color w:val="3F3F3F"/>
          <w:sz w:val="20"/>
          <w:szCs w:val="20"/>
        </w:rPr>
        <w:t>Ի</w:t>
      </w:r>
      <w:r w:rsidRPr="000E2FE7">
        <w:rPr>
          <w:rStyle w:val="a4"/>
          <w:color w:val="3F3F3F"/>
          <w:sz w:val="20"/>
          <w:szCs w:val="20"/>
        </w:rPr>
        <w:t> </w:t>
      </w:r>
      <w:r w:rsidRPr="000E2FE7">
        <w:rPr>
          <w:rStyle w:val="a4"/>
          <w:rFonts w:ascii="GHEA Grapalat" w:hAnsi="GHEA Grapalat" w:cs="Tahoma"/>
          <w:color w:val="3F3F3F"/>
          <w:sz w:val="20"/>
          <w:szCs w:val="20"/>
        </w:rPr>
        <w:t>ԴՐՈՒԹՅԱՄԲ</w:t>
      </w:r>
    </w:p>
    <w:p w:rsidR="000E2FE7" w:rsidRPr="000E2FE7" w:rsidRDefault="000E2FE7" w:rsidP="000E2FE7">
      <w:pPr>
        <w:pStyle w:val="a3"/>
        <w:shd w:val="clear" w:color="auto" w:fill="F5F5F5"/>
        <w:spacing w:before="0" w:beforeAutospacing="0" w:after="0" w:afterAutospacing="0" w:line="276" w:lineRule="auto"/>
        <w:rPr>
          <w:rFonts w:ascii="GHEA Grapalat" w:hAnsi="GHEA Grapalat" w:cs="Tahoma"/>
          <w:color w:val="3F3F3F"/>
          <w:sz w:val="22"/>
          <w:szCs w:val="22"/>
        </w:rPr>
      </w:pPr>
      <w:r w:rsidRPr="000E2FE7">
        <w:rPr>
          <w:rStyle w:val="a4"/>
          <w:color w:val="3F3F3F"/>
          <w:sz w:val="22"/>
          <w:szCs w:val="22"/>
        </w:rPr>
        <w:t>    </w:t>
      </w:r>
      <w:proofErr w:type="gramStart"/>
      <w:r w:rsidRPr="000E2FE7">
        <w:rPr>
          <w:rFonts w:ascii="GHEA Grapalat" w:hAnsi="GHEA Grapalat" w:cs="Tahoma"/>
          <w:color w:val="3F3F3F"/>
          <w:sz w:val="22"/>
          <w:szCs w:val="22"/>
        </w:rPr>
        <w:t>Զբաղվածության բնագավառը կանոնակարգվում է "Բնակչության զբաղվածության և գործազրկության դեպքում սոցիալական պաշտպանության մասին" ԼՂՀ օրենքով, և դրա կիրարկումն ապահովող ԼՂՀ կառավարության 8 որոշումներով և ԼՂՀ սոցիալական ապահովության նախարարի 6 հրամաններով: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Աշխատանք փնտրող անձանց թվաքանակը հանրապետությունում կազմում է 3751 մարդ, որոնցից 3470-ը կանայք են:</w:t>
      </w:r>
      <w:r w:rsidRPr="000E2FE7">
        <w:rPr>
          <w:rFonts w:ascii="Tahoma" w:hAnsi="Tahoma" w:cs="Tahoma"/>
          <w:color w:val="3F3F3F"/>
          <w:sz w:val="22"/>
          <w:szCs w:val="22"/>
        </w:rPr>
        <w:t>  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Աշխատանք փնտրողների 94.1%-ը կամ 3531 մարդ ստացել է գործազուրկի կարգավիճակ: Նախորդ տարվա համեմատ այդ ցուցանիշը աճել է 1.7 %-ով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(2009թ. հունվարի 1-ի դրությամբ աշխատանք փնտրող անձանց թվաքանակը կազմում էր 3690,որից 3401` կանայք):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Գրանցված 3531 քաղաքացիներից գործազրկության նպաստ է ստանում 376 անձ: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Տարեսկզբից աշխատանքի է տեղավորվել 165 մարդ, որից 142-ը` գործազուրկ: Նախորդ տարվա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համեմատ այդ ցուցանիշը նվազել է 15 մարդով: Աշխատանքի տեղավորվածների 80.6%-ը կանայք են: Տեղավորվածների թիվը շինարարության ոլորտում կազմում է 6.1%,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առևտրի և հասարակական սննդի, ՆՏՄ և առաքում, մթերում ոլորտում` 14.0 %, կրթության ոլորտում` 11.5 %, պետական և տեղական ինքնակառավարման`ապարատում 12.1 %, այլ ճյուղերում` 56.3%: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Գործազուրկների թվի մեջ մեծ է քաղաքային բնակչության տեսակարար կշիռը` շուրջ 93.6. %: Հատկապես գործազուրկների թվաքանակի առավելագույն աճ է գրանցվել Ստեփանակերտ քաղաքում և Քաշաթաղի շրջանում: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Գործազուրկների տարիքային ցենզը դիտարկվող ժամանակահատվածում հետևյալն է. գործազուրկների թվի 4.8 %-ը պատկանում է 18-22 տարիքային խմբին` նախորդ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տարվա 5.6%-ի փոխարեն, 46.7%-ը` 22-30 տարիքային խմբին` նախորդ տարվա 47.9%-ի փոխարեն, 38.9%-ը պատկանում է 30-50 տարիքային խմբին` նախորդ տարվա 37.8 %-ի փոխարեն, 9.5%-ը` 50-ից բարձր տարիքային խմբին, նախորդ տարվա 8.7</w:t>
      </w:r>
      <w:proofErr w:type="gramEnd"/>
      <w:r w:rsidRPr="000E2FE7">
        <w:rPr>
          <w:rFonts w:ascii="GHEA Grapalat" w:hAnsi="GHEA Grapalat" w:cs="Tahoma"/>
          <w:color w:val="3F3F3F"/>
          <w:sz w:val="22"/>
          <w:szCs w:val="22"/>
        </w:rPr>
        <w:t>%-ի փոխարեն: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Դիտարկելով գործազուրկների կրթական ցենզը, արձանագրվել է, որ բարձրագույն կրթություն ունեցողները կազմել են գործազուրկների ընդհանուր թվի 17.8%-ը` նախորդ տարվա 16.7%-ի փոխարեն, միջին մասնագիտական կրթություն ունեցողները` 31.0 %, նախորդ տարվա 31.1%-ի փոխարեն, մնացած մասը կամ 51.2%-ը կազմել են ընդհանուր և թերի միջնակարգ կրթություն ունեցողները: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Գործազուրկների մեջ 6.5 %-ը կազմում են մանկավարժները, նախորդ տարվա 9.2 %-ի փոխարեն, 5.6 %-ը` բուժքույրերը` 7.9%-ի փոխարեն,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9.4 %-ը կազմում են տնտեսագետները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և հաշվապահները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(հիմնականում միջին մասնագիտական կրթությամբ) նախորդ տարվա 10.6%-ի փոխարեն, 38.9%-ը` մասնագիտություն չունեցող անձինք,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նախորդ տարվա 8.2%-ի փոխարեն: Գործազուրկների մեջ չնչին տոկոս են կազմում հետևյալ մասնագիտություններ ունեցող անձիք` խառատ-ֆրեզերագործ, փականագործ, եռակցող, հյուսն: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Մեկ տարուց ավելի գործազուրկի կարգավիճակ ունեցող անձանց թվաքանակը կազմում է 63.0%,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որը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նախորդ տարվա համեմատ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աճել է 0.3% -ով: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Մարտունի քաղաքի մեկ հաշմանդամ օգտվում է աշխատաշուկայում անմրցունակ խմբերի աշխատավարձի փոխհատուցման ծրագրից:</w:t>
      </w:r>
    </w:p>
    <w:p w:rsidR="000E2FE7" w:rsidRPr="000E2FE7" w:rsidRDefault="000E2FE7" w:rsidP="000E2FE7">
      <w:pPr>
        <w:pStyle w:val="a3"/>
        <w:shd w:val="clear" w:color="auto" w:fill="F5F5F5"/>
        <w:spacing w:before="0" w:beforeAutospacing="0" w:after="0" w:afterAutospacing="0" w:line="276" w:lineRule="auto"/>
        <w:rPr>
          <w:rFonts w:ascii="GHEA Grapalat" w:hAnsi="GHEA Grapalat" w:cs="Tahoma"/>
          <w:color w:val="3F3F3F"/>
          <w:sz w:val="22"/>
          <w:szCs w:val="22"/>
        </w:rPr>
      </w:pPr>
      <w:r w:rsidRPr="000E2FE7">
        <w:rPr>
          <w:rFonts w:ascii="Tahoma" w:hAnsi="Tahoma" w:cs="Tahoma"/>
          <w:color w:val="3F3F3F"/>
          <w:sz w:val="22"/>
          <w:szCs w:val="22"/>
        </w:rPr>
        <w:t> </w:t>
      </w:r>
    </w:p>
    <w:p w:rsidR="000E2FE7" w:rsidRPr="000E2FE7" w:rsidRDefault="000E2FE7" w:rsidP="000E2FE7">
      <w:pPr>
        <w:pStyle w:val="a3"/>
        <w:shd w:val="clear" w:color="auto" w:fill="F5F5F5"/>
        <w:spacing w:before="0" w:beforeAutospacing="0" w:after="0" w:afterAutospacing="0" w:line="276" w:lineRule="auto"/>
        <w:rPr>
          <w:rFonts w:ascii="GHEA Grapalat" w:hAnsi="GHEA Grapalat" w:cs="Tahoma"/>
          <w:color w:val="3F3F3F"/>
          <w:sz w:val="22"/>
          <w:szCs w:val="22"/>
        </w:rPr>
      </w:pPr>
      <w:r w:rsidRPr="000E2FE7">
        <w:rPr>
          <w:rFonts w:ascii="Tahoma" w:hAnsi="Tahoma" w:cs="Tahoma"/>
          <w:color w:val="3F3F3F"/>
          <w:sz w:val="22"/>
          <w:szCs w:val="22"/>
        </w:rPr>
        <w:t>  </w:t>
      </w:r>
      <w:r w:rsidRPr="000E2FE7">
        <w:rPr>
          <w:rStyle w:val="a4"/>
          <w:rFonts w:ascii="GHEA Grapalat" w:hAnsi="GHEA Grapalat" w:cs="Tahoma"/>
          <w:color w:val="3F3F3F"/>
          <w:sz w:val="22"/>
          <w:szCs w:val="22"/>
        </w:rPr>
        <w:t>Մասնագիտական ուսուցում</w:t>
      </w:r>
    </w:p>
    <w:p w:rsidR="000E2FE7" w:rsidRPr="000E2FE7" w:rsidRDefault="000E2FE7" w:rsidP="000E2FE7">
      <w:pPr>
        <w:pStyle w:val="a3"/>
        <w:shd w:val="clear" w:color="auto" w:fill="F5F5F5"/>
        <w:spacing w:before="0" w:beforeAutospacing="0" w:after="0" w:afterAutospacing="0" w:line="276" w:lineRule="auto"/>
        <w:rPr>
          <w:rFonts w:ascii="GHEA Grapalat" w:hAnsi="GHEA Grapalat" w:cs="Tahoma"/>
          <w:color w:val="3F3F3F"/>
          <w:sz w:val="22"/>
          <w:szCs w:val="22"/>
        </w:rPr>
      </w:pPr>
      <w:r w:rsidRPr="000E2FE7">
        <w:rPr>
          <w:rFonts w:ascii="GHEA Grapalat" w:hAnsi="GHEA Grapalat" w:cs="Tahoma"/>
          <w:color w:val="3F3F3F"/>
          <w:sz w:val="22"/>
          <w:szCs w:val="22"/>
        </w:rPr>
        <w:lastRenderedPageBreak/>
        <w:t>2009թ. նոյեմբեր - դեկտեմբեր ամիսներին իրականացվել է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մասնագիտական ուսուցում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համակարգչային հաշվապահություն և համակարգչային գործավարություն մասնագիտություններով, որտեղ ընդգրկվել են 55 գործազուրկներ թե' մայրաքաղաքից և թե' շրջաններից: Ընդ որում մասնակիցների կեսից ավելին միջնակարգ</w:t>
      </w:r>
      <w:r w:rsidRPr="000E2FE7">
        <w:rPr>
          <w:rFonts w:ascii="Tahoma" w:hAnsi="Tahoma" w:cs="Tahoma"/>
          <w:color w:val="3F3F3F"/>
          <w:sz w:val="22"/>
          <w:szCs w:val="22"/>
        </w:rPr>
        <w:t>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կրթությամբ իգական սեռի ներկայացուցիչներ էին: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Ծրագրի նպատակն էր մասնագիտական ուսուցման միջոցով գործազուրկներին աջակցել աշխատաշուկայի պահանջներին համապատասխան նոր կարողություններ ու հմտություններ ձեռք բերելու միջոցով հարմար աշխատանքի տեղավորման հարցում:</w:t>
      </w:r>
      <w:r w:rsidRPr="000E2FE7">
        <w:rPr>
          <w:rFonts w:ascii="GHEA Grapalat" w:hAnsi="GHEA Grapalat" w:cs="Tahoma"/>
          <w:color w:val="3F3F3F"/>
          <w:sz w:val="22"/>
          <w:szCs w:val="22"/>
        </w:rPr>
        <w:br/>
      </w:r>
      <w:r w:rsidRPr="000E2FE7">
        <w:rPr>
          <w:rFonts w:ascii="Tahoma" w:hAnsi="Tahoma" w:cs="Tahoma"/>
          <w:color w:val="3F3F3F"/>
          <w:sz w:val="22"/>
          <w:szCs w:val="22"/>
        </w:rPr>
        <w:t>     </w:t>
      </w:r>
      <w:r w:rsidRPr="000E2FE7">
        <w:rPr>
          <w:rFonts w:ascii="GHEA Grapalat" w:hAnsi="GHEA Grapalat" w:cs="Tahoma"/>
          <w:color w:val="3F3F3F"/>
          <w:sz w:val="22"/>
          <w:szCs w:val="22"/>
        </w:rPr>
        <w:t xml:space="preserve"> Ուսուցումը հատկապես այս մասնագիտությունների գծով իրականացնելը պայմանավորված էր նախարարության կողմից իրականացված վերլուծության ու դիտարկման արդյունքներով, նաև հաշվի առնելով գործազուրկների նախապատվությունները:</w:t>
      </w:r>
    </w:p>
    <w:p w:rsidR="000E2FE7" w:rsidRPr="000E2FE7" w:rsidRDefault="000E2FE7" w:rsidP="000E2FE7">
      <w:pPr>
        <w:pStyle w:val="a3"/>
        <w:shd w:val="clear" w:color="auto" w:fill="F5F5F5"/>
        <w:spacing w:before="0" w:beforeAutospacing="0" w:after="0" w:afterAutospacing="0" w:line="276" w:lineRule="auto"/>
        <w:rPr>
          <w:rFonts w:ascii="GHEA Grapalat" w:hAnsi="GHEA Grapalat" w:cs="Tahoma"/>
          <w:color w:val="3F3F3F"/>
          <w:sz w:val="22"/>
          <w:szCs w:val="22"/>
        </w:rPr>
      </w:pPr>
      <w:r w:rsidRPr="000E2FE7">
        <w:rPr>
          <w:rFonts w:ascii="Tahoma" w:hAnsi="Tahoma" w:cs="Tahoma"/>
          <w:color w:val="3F3F3F"/>
          <w:sz w:val="22"/>
          <w:szCs w:val="22"/>
        </w:rPr>
        <w:t> </w:t>
      </w:r>
    </w:p>
    <w:p w:rsidR="00192BA1" w:rsidRPr="000E2FE7" w:rsidRDefault="00192BA1" w:rsidP="000E2FE7">
      <w:pPr>
        <w:rPr>
          <w:rFonts w:ascii="GHEA Grapalat" w:hAnsi="GHEA Grapalat"/>
        </w:rPr>
      </w:pPr>
    </w:p>
    <w:sectPr w:rsidR="00192BA1" w:rsidRPr="000E2FE7" w:rsidSect="001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E7"/>
    <w:rsid w:val="000E2FE7"/>
    <w:rsid w:val="0019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>KrotySOFT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2018-04-10T10:00:00Z</dcterms:created>
  <dcterms:modified xsi:type="dcterms:W3CDTF">2018-04-10T10:03:00Z</dcterms:modified>
</cp:coreProperties>
</file>