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400D9D" w:rsidRPr="00400D9D" w:rsidTr="00400D9D">
        <w:trPr>
          <w:tblCellSpacing w:w="0" w:type="dxa"/>
          <w:jc w:val="center"/>
        </w:trPr>
        <w:tc>
          <w:tcPr>
            <w:tcW w:w="11040" w:type="dxa"/>
            <w:shd w:val="clear" w:color="auto" w:fill="FFFFFF"/>
            <w:vAlign w:val="center"/>
            <w:hideMark/>
          </w:tcPr>
          <w:tbl>
            <w:tblPr>
              <w:tblW w:w="11040" w:type="dxa"/>
              <w:tblCellSpacing w:w="0" w:type="dxa"/>
              <w:shd w:val="clear" w:color="auto" w:fill="FCCF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2808"/>
              <w:gridCol w:w="3150"/>
              <w:gridCol w:w="1632"/>
            </w:tblGrid>
            <w:tr w:rsidR="00400D9D" w:rsidRPr="00400D9D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Համարը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 381-Ն</w:t>
                  </w:r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Տեսակը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Ինկորպորացիա</w:t>
                  </w:r>
                  <w:proofErr w:type="spellEnd"/>
                </w:p>
              </w:tc>
            </w:tr>
            <w:tr w:rsidR="00400D9D" w:rsidRPr="00400D9D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Տիպը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Որոշում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Կարգավիճակը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</w:t>
                  </w:r>
                </w:p>
              </w:tc>
            </w:tr>
            <w:tr w:rsidR="00400D9D" w:rsidRPr="00400D9D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Սկզբնաղբյուրը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ԼՂՀՊՏ 2016.07.20/11(302)</w:t>
                  </w:r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Ընդունման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վայրը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Ստեփանակերտ</w:t>
                  </w:r>
                  <w:proofErr w:type="spellEnd"/>
                </w:p>
              </w:tc>
            </w:tr>
            <w:tr w:rsidR="00400D9D" w:rsidRPr="00400D9D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Ընդունող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մարմինը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ԼՂՀ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կառավարություն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Ընդունման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14.07.2016</w:t>
                  </w:r>
                </w:p>
              </w:tc>
            </w:tr>
            <w:tr w:rsidR="00400D9D" w:rsidRPr="00400D9D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Ստորագրող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մարմինը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ԼՂՀ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Վարչապետ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Ստորագրման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14.07.2016</w:t>
                  </w:r>
                </w:p>
              </w:tc>
            </w:tr>
            <w:tr w:rsidR="00400D9D" w:rsidRPr="00400D9D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Վավերացնող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մարմինը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Վավերացման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400D9D" w:rsidRPr="00400D9D">
              <w:trPr>
                <w:trHeight w:val="285"/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Ուժի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մեջ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մտնելու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01.08.2016</w:t>
                  </w:r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Ուժը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կորցնելու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00D9D" w:rsidRPr="00400D9D" w:rsidRDefault="00400D9D" w:rsidP="00400D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00D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pict>
                <v:rect id="_x0000_i1025" style="width:468pt;height:1.5pt" o:hralign="center" o:hrstd="t" o:hrnoshade="t" o:hr="t" fillcolor="#878787" stroked="f"/>
              </w:pict>
            </w:r>
          </w:p>
        </w:tc>
      </w:tr>
      <w:tr w:rsidR="00400D9D" w:rsidRPr="00400D9D" w:rsidTr="00400D9D">
        <w:trPr>
          <w:tblCellSpacing w:w="0" w:type="dxa"/>
          <w:jc w:val="center"/>
        </w:trPr>
        <w:tc>
          <w:tcPr>
            <w:tcW w:w="11040" w:type="dxa"/>
            <w:shd w:val="clear" w:color="auto" w:fill="FFFFFF"/>
            <w:vAlign w:val="center"/>
            <w:hideMark/>
          </w:tcPr>
          <w:p w:rsidR="00400D9D" w:rsidRPr="00400D9D" w:rsidRDefault="00400D9D" w:rsidP="00400D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400D9D" w:rsidRPr="00400D9D" w:rsidTr="00400D9D">
        <w:trPr>
          <w:tblCellSpacing w:w="0" w:type="dxa"/>
          <w:jc w:val="center"/>
        </w:trPr>
        <w:tc>
          <w:tcPr>
            <w:tcW w:w="11040" w:type="dxa"/>
            <w:shd w:val="clear" w:color="auto" w:fill="FFFFFF"/>
            <w:vAlign w:val="center"/>
            <w:hideMark/>
          </w:tcPr>
          <w:p w:rsidR="00400D9D" w:rsidRPr="00400D9D" w:rsidRDefault="00400D9D" w:rsidP="00400D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400D9D" w:rsidRPr="00400D9D" w:rsidTr="00400D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00D9D" w:rsidRPr="00400D9D" w:rsidRDefault="00400D9D" w:rsidP="00400D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3505" cy="103505"/>
                  <wp:effectExtent l="0" t="0" r="0" b="0"/>
                  <wp:docPr id="1" name="Рисунок 1" descr="http://www.arlexis.am/Annexes/treeNode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oggleLinks" descr="http://www.arlexis.am/Annexes/treeNode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400D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>Փոփոխողներ</w:t>
            </w:r>
            <w:proofErr w:type="spellEnd"/>
            <w:r w:rsidRPr="00400D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և </w:t>
            </w:r>
            <w:proofErr w:type="spellStart"/>
            <w:r w:rsidRPr="00400D9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>ինկորպորացիաներ</w:t>
            </w:r>
            <w:proofErr w:type="spellEnd"/>
          </w:p>
        </w:tc>
      </w:tr>
      <w:tr w:rsidR="00400D9D" w:rsidRPr="00400D9D" w:rsidTr="00400D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00D9D" w:rsidRPr="00400D9D" w:rsidRDefault="00400D9D" w:rsidP="00400D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00D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pict>
                <v:rect id="_x0000_i1026" style="width:552pt;height:1.5pt" o:hrpct="0" o:hrstd="t" o:hrnoshade="t" o:hr="t" fillcolor="#878787" stroked="f"/>
              </w:pic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400D9D" w:rsidRPr="00400D9D">
              <w:trPr>
                <w:tblCellSpacing w:w="15" w:type="dxa"/>
              </w:trPr>
              <w:tc>
                <w:tcPr>
                  <w:tcW w:w="11040" w:type="dxa"/>
                  <w:shd w:val="clear" w:color="auto" w:fill="F6F6F6"/>
                  <w:vAlign w:val="center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color w:val="545454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color w:val="545454"/>
                      <w:sz w:val="21"/>
                      <w:szCs w:val="21"/>
                    </w:rPr>
                    <w:t>ԼՂՀ ԿԱՌԱՎԱՐՈՒԹՅԱՆ ՈՐՈՇՈՒՄԸ ՊԵՏԱԿԱՆ ԾՐԱԳՐԻ ՇՐՋԱՆԱԿՆԵՐՈՒՄ ԱՀ-ՈՒՄ ՎԱՐՁԱԿԱԼԱԿԱՆ ՀԻՄՈՒՆՔՆԵՐՈՎ ԲՆԱԿՎՈՂ ՓԱԽՍՏԱԿԱՆԻ ՀԱՇՎԱՌՄԱՆ ՎԿԱՅԱԿԱՆ ՍՏԱՑԱԾ ԸՆՏԱՆԻՔՆԵՐԻՆ ՖԻՆԱՆՍԱԿԱՆ ԱՋԱԿՑՈՒԹՅԱՆ ՏՐԱՄԱԴՐՄԱՆ ԿԱՐԳԸ ՀԱՍՏԱՏԵԼՈՒ ՄԱՍԻՆ</w:t>
                  </w:r>
                </w:p>
              </w:tc>
            </w:tr>
          </w:tbl>
          <w:p w:rsidR="00400D9D" w:rsidRPr="00400D9D" w:rsidRDefault="00400D9D" w:rsidP="00400D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00D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pict>
                <v:rect id="_x0000_i1027" style="width:552pt;height:1.5pt" o:hrpct="0" o:hrstd="t" o:hrnoshade="t" o:hr="t" fillcolor="#878787" stroked="f"/>
              </w:pict>
            </w:r>
          </w:p>
        </w:tc>
      </w:tr>
      <w:tr w:rsidR="00400D9D" w:rsidRPr="00400D9D" w:rsidTr="00400D9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400D9D" w:rsidRPr="00400D9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400D9D" w:rsidRPr="00400D9D">
              <w:trPr>
                <w:tblCellSpacing w:w="0" w:type="dxa"/>
              </w:trPr>
              <w:tc>
                <w:tcPr>
                  <w:tcW w:w="11040" w:type="dxa"/>
                  <w:vAlign w:val="center"/>
                  <w:hideMark/>
                </w:tcPr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7"/>
                      <w:szCs w:val="27"/>
                    </w:rPr>
                    <w:t>ԼԵՌՆԱՅԻՆ ՂԱՐԱԲԱՂԻ ՀԱՆՐԱՊԵՏՈՒԹՅԱՆ ԿԱՌԱՎԱՐՈՒԹՅՈՒՆ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36"/>
                      <w:szCs w:val="36"/>
                    </w:rPr>
                    <w:t>Ո Ր Ո Շ ՈՒ Մ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9825" w:type="dxa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  <w:gridCol w:w="4950"/>
                  </w:tblGrid>
                  <w:tr w:rsidR="00400D9D" w:rsidRPr="00400D9D" w:rsidTr="00400D9D">
                    <w:trPr>
                      <w:tblCellSpacing w:w="7" w:type="dxa"/>
                      <w:jc w:val="center"/>
                    </w:trPr>
                    <w:tc>
                      <w:tcPr>
                        <w:tcW w:w="4815" w:type="dxa"/>
                        <w:vAlign w:val="center"/>
                        <w:hideMark/>
                      </w:tcPr>
                      <w:p w:rsidR="00400D9D" w:rsidRPr="00400D9D" w:rsidRDefault="00400D9D" w:rsidP="00400D9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14</w:t>
                        </w:r>
                        <w:r w:rsidRPr="00400D9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400D9D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հուլիսի</w:t>
                        </w:r>
                        <w:proofErr w:type="spellEnd"/>
                        <w:r w:rsidRPr="00400D9D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2016</w:t>
                        </w:r>
                        <w:r w:rsidRPr="00400D9D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թ</w:t>
                        </w:r>
                        <w:r w:rsidRPr="00400D9D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4890" w:type="dxa"/>
                        <w:vAlign w:val="center"/>
                        <w:hideMark/>
                      </w:tcPr>
                      <w:p w:rsidR="00400D9D" w:rsidRPr="00400D9D" w:rsidRDefault="00400D9D" w:rsidP="00400D9D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N 381-Ն</w:t>
                        </w:r>
                      </w:p>
                    </w:tc>
                  </w:tr>
                </w:tbl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ք.Ստեփանակերտ</w:t>
                  </w:r>
                  <w:proofErr w:type="spellEnd"/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ՊԵՏԱԿԱՆ ԾՐԱԳՐԻ ՇՐՋԱՆԱԿՆԵՐՈՒՄ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ԱՐՑԱԽԻ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ՀԱՆՐԱՊԵՏՈՒԹՅՈՒՆՈՒՄ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ՎԱՐՁԱԿԱԼԱԿԱՆ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ՀԻՄՈՒՆՔՆԵՐՈՎ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ԲՆԱԿՎՈՂ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ՓԱԽՍՏԱԿԱՆԻ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ՀԱՇՎԱՌՄԱՆ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ՎԿԱՅԱԿԱՆ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ՍՏԱՑԱԾ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ԸՆՏԱՆԻՔՆԵՐԻՆ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ՖԻՆԱՆՍԱԿԱՆ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ԱՋԱԿՑՈՒԹՅԱՆ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ՏՐԱՄԱԴՐՄԱՆ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ԿԱՐԳԸ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ՀԱՍՏԱՏԵԼՈՒ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ՄԱՍԻ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Ն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(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վերնագիրը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լրաց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. 14.09.2017 N 662-Ն,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 25.01.2018 N 28-Ն)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«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Իրավական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ակտերի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»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Լեռնային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Ղարաբաղի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օրենքի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13-րդ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հոդվածին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համապատասխան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՝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Լեռնային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Ղարաբաղի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կառավարությունը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ո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ր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ո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շ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ու</w:t>
                  </w:r>
                  <w:proofErr w:type="spellEnd"/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մ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է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.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Հաստատել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՝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ծրագրի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շրջանակներում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Արցախի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Հանրապետությունում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հիմունքներով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բնակվող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փախստականի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հաշվառման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վկայական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ստացած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ընտանիքներին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՝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համաձայն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հավելվածի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(1-ին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լրաց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. 14.09.2017 N 662-Ն,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 25.01.2018 N 28-Ն)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Սույն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որոշումն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ուժի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մեջ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մտնում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2016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թվականի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օգոստոսի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1-ից: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1"/>
                    <w:gridCol w:w="6519"/>
                  </w:tblGrid>
                  <w:tr w:rsidR="00400D9D" w:rsidRPr="00400D9D" w:rsidTr="00400D9D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ԼԵՌՆԱՅԻՆ ՂԱՐԱԲԱՂԻ</w:t>
                        </w:r>
                      </w:p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ՀԱՆՐԱՊԵՏՈՒԹՅԱՆ</w:t>
                        </w:r>
                        <w:r w:rsidRPr="00400D9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 </w:t>
                        </w:r>
                        <w:r w:rsidRPr="00400D9D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</w:rPr>
                          <w:t>ՎԱՐՉԱՊԵՏ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400D9D" w:rsidRPr="00400D9D" w:rsidRDefault="00400D9D" w:rsidP="00400D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Ա. ՀԱՐՈՒԹՅՈՒՆՅԱՆ</w:t>
                        </w:r>
                      </w:p>
                    </w:tc>
                  </w:tr>
                </w:tbl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bookmarkStart w:id="0" w:name="_GoBack"/>
                  <w:bookmarkEnd w:id="0"/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9"/>
                    <w:gridCol w:w="5931"/>
                  </w:tblGrid>
                  <w:tr w:rsidR="00400D9D" w:rsidRPr="00400D9D" w:rsidTr="00400D9D">
                    <w:trPr>
                      <w:tblCellSpacing w:w="7" w:type="dxa"/>
                    </w:trPr>
                    <w:tc>
                      <w:tcPr>
                        <w:tcW w:w="9900" w:type="dxa"/>
                        <w:vAlign w:val="center"/>
                        <w:hideMark/>
                      </w:tcPr>
                      <w:p w:rsidR="00400D9D" w:rsidRPr="00400D9D" w:rsidRDefault="00400D9D" w:rsidP="00400D9D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900" w:type="dxa"/>
                        <w:vAlign w:val="center"/>
                        <w:hideMark/>
                      </w:tcPr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>Հավելված</w:t>
                        </w:r>
                        <w:proofErr w:type="spellEnd"/>
                      </w:p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>Լեռնային</w:t>
                        </w:r>
                        <w:proofErr w:type="spellEnd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>Ղարաբաղի</w:t>
                        </w:r>
                        <w:proofErr w:type="spellEnd"/>
                      </w:p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>Հանրապետության</w:t>
                        </w:r>
                        <w:proofErr w:type="spellEnd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>կառավարության</w:t>
                        </w:r>
                        <w:proofErr w:type="spellEnd"/>
                      </w:p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 xml:space="preserve">2016 </w:t>
                        </w:r>
                        <w:proofErr w:type="spellStart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>թվականի</w:t>
                        </w:r>
                        <w:proofErr w:type="spellEnd"/>
                        <w:r w:rsidRPr="00400D9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00D9D">
                          <w:rPr>
                            <w:rFonts w:ascii="Arial Unicode" w:eastAsia="Times New Roman" w:hAnsi="Arial Unicode" w:cs="Arial Unicode"/>
                            <w:sz w:val="20"/>
                            <w:szCs w:val="20"/>
                          </w:rPr>
                          <w:t>հուլիսի</w:t>
                        </w:r>
                        <w:proofErr w:type="spellEnd"/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 xml:space="preserve"> 14-</w:t>
                        </w:r>
                        <w:r w:rsidRPr="00400D9D">
                          <w:rPr>
                            <w:rFonts w:ascii="Arial Unicode" w:eastAsia="Times New Roman" w:hAnsi="Arial Unicode" w:cs="Arial Unicode"/>
                            <w:sz w:val="20"/>
                            <w:szCs w:val="20"/>
                          </w:rPr>
                          <w:t>ի</w:t>
                        </w:r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 xml:space="preserve"> N 381-</w:t>
                        </w:r>
                        <w:r w:rsidRPr="00400D9D">
                          <w:rPr>
                            <w:rFonts w:ascii="Arial Unicode" w:eastAsia="Times New Roman" w:hAnsi="Arial Unicode" w:cs="Arial Unicode"/>
                            <w:sz w:val="20"/>
                            <w:szCs w:val="20"/>
                          </w:rPr>
                          <w:t>Ն</w:t>
                        </w:r>
                        <w:r w:rsidRPr="00400D9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400D9D">
                          <w:rPr>
                            <w:rFonts w:ascii="Arial Unicode" w:eastAsia="Times New Roman" w:hAnsi="Arial Unicode" w:cs="Arial Unicode"/>
                            <w:sz w:val="20"/>
                            <w:szCs w:val="20"/>
                          </w:rPr>
                          <w:t>որոշմա</w:t>
                        </w:r>
                        <w:r w:rsidRPr="00400D9D"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</w:rPr>
                          <w:t>ն</w:t>
                        </w:r>
                        <w:proofErr w:type="spellEnd"/>
                      </w:p>
                    </w:tc>
                  </w:tr>
                </w:tbl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Կ Ա Ր Գ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ՊԵՏԱԿԱՆ ԾՐԱԳՐԻ ՇՐՋԱՆԱԿՆԵՐՈՒՄ ԱՐՑԱԽԻ ՀԱՆՐԱՊԵՏՈՒԹՅՈՒՆՈՒՄ ՎԱՐՁԱԿԱԼԱԿԱՆ ՀԻՄՈՒՆՔՆԵՐՈՎ ԲՆԱԿՎՈՂ ՓԱԽՍՏԱԿԱՆԻ ՀԱՇՎԱՌՄԱՆ ՎԿԱՅԱԿԱՆ ՍՏԱՑԱԾ ԸՆՏԱՆԻՔՆԵՐԻՆ ՖԻՆԱՆՍԱԿԱՆ ԱՋԱԿՑՈՒԹՅԱՆ ՏՐԱՄԱԴՐՄԱՆ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(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վերնագիրը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լրաց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. 14.09.2017 N 662-Ն,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 25.01.2018 N 28-Ն)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Սույն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կարգավորվում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Արցախի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Հանրապետությունում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հիմունքներով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բնակվող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lastRenderedPageBreak/>
                    <w:t>փախստականի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հաշվառման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վկայական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ստացած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ընտանիքներին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ծրագրի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շրջանակներում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հետ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կապված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հարաբերությունները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(1-ին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լրաց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. 14.09.2017 N 662-Ն,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 25.01.2018 N 28-Ն)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Սույն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համաձայն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աջակցություն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ստանալու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իրավունք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ունեն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փախստական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ընտանիքները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այսուհետ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՝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որոնց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նկատմամբ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բնակարանային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պայմանների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բարելավման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նպատակով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աջակցություն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ցուցաբերվել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բնակվում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հիմունքներով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և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օրվա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դրությամբ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վերջին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տասը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տարիների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ընթացքում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սեփականության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իրավունքով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պատկանող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տարածություն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չեն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օտարել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3.</w:t>
                  </w: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(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ուժը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կորցրել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է 06.11.2017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N 121-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sz w:val="21"/>
                      <w:szCs w:val="21"/>
                    </w:rPr>
                    <w:t>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տրամադրվող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չափը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որոշվում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եռակողմ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պայմանագրին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համապատասխան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սակայն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ոչ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ավելի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քան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50 000 ՀՀ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դրամը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: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աջակցությունը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տրամադրվում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յուրաքանչյուր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ամիս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5.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աջակցությունը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Արցախի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աշխատանքի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սոցիալական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հարցերի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վերաբնակեցման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նախարարությունը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այսուհետ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`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)`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այդ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նպատակի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Արցախի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բյուջեից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հատկացված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միջոցների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(5-րդ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06.11.2017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N 121-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sz w:val="21"/>
                      <w:szCs w:val="21"/>
                    </w:rPr>
                    <w:t>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 25.01.2018 N 28-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sz w:val="21"/>
                      <w:szCs w:val="21"/>
                    </w:rPr>
                    <w:t>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6.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գործընթացն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ապահովում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մարմնի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աշխատակազմի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բնակարանային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հարցերի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վարչությունը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՝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համագործակցելով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փախստականների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հարցերով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զբաղվող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հասարակական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կազմակերպությունների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հետ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(6-րդ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խմբ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06.11.2017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N 121-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sz w:val="21"/>
                      <w:szCs w:val="21"/>
                    </w:rPr>
                    <w:t>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)</w:t>
                  </w: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7.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անունից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հանդես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գալիս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պայմանագիր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կնքած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նրա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կողմից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լիազորված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8.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աջակցություն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ստանալու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ներկայացնում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հետևյալ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փաստաթղթերը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՝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1)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համապատասխան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,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2)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անդամների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հաստատող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փաստաթղթերի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անձնագրերի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ծննդյան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վկայականների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պատճենները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,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3)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փախստականի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հաշվառման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վկայականի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պատճենը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,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4)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ամուսնության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վկայականի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պատճենը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(8-րդ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լրաց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. 14.09.2017 N 662-Ն,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 25.01.2018 N 28-Ն)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9.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Բնակելի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տարածության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վարձակալության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դիմաց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վերաբերյալ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դիմումները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մարմինն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ուսումնասիրում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դրանք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մուտքագրվելուց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հետո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քսանօրյա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ժամկետում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10.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Սույն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8-րդ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կետով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նախատեսված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փաստաթղթերը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ներկայացվելու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մարմինը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առաջարկում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մեկշաբաթյա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ժամկետում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լրացնել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անհրաժեշտ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փաստաթղթերը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իսկ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դրանք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չներկայացվելու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մերժվում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(10-րդ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06.11.2017</w:t>
                  </w:r>
                  <w:r w:rsidRPr="00400D9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 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N 121-</w:t>
                  </w:r>
                  <w:r w:rsidRPr="00400D9D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sz w:val="21"/>
                      <w:szCs w:val="21"/>
                    </w:rPr>
                    <w:t>Ն</w:t>
                  </w: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)</w:t>
                  </w: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11.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մարմինը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յուրաքանչյուր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ամսվա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արդյունքներով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մինչև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տվյալ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ամսվան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հաջորդող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ամսվա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10-ը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Արցախի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նախարարություն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ներկայացնում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ֆինանսավորման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հայտ-պահանջագիր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(11-րդ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 25.01.2018 N 28-Ն)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12.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Արցախի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օրենսդրությանը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համապատասխան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՝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աջակցություն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ստանալու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իրավունք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ձեռք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բերելու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պահից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սկսած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յուրաքանչյուր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ամիս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մարմինն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ուսումնասիրում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շահառուների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բնակարանային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պայմանները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որի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արդյունքներով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շարունակվում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ֆինանսական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աջակցության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տրամադրումը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(12-րդ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կետը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փոփ</w:t>
                  </w:r>
                  <w:proofErr w:type="spellEnd"/>
                  <w:r w:rsidRPr="00400D9D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. 25.01.2018 N 28-Ն)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p w:rsidR="00400D9D" w:rsidRPr="00400D9D" w:rsidRDefault="00400D9D" w:rsidP="00400D9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400D9D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3"/>
                    <w:gridCol w:w="7387"/>
                  </w:tblGrid>
                  <w:tr w:rsidR="00400D9D" w:rsidRPr="00400D9D" w:rsidTr="00400D9D">
                    <w:trPr>
                      <w:tblCellSpacing w:w="7" w:type="dxa"/>
                    </w:trPr>
                    <w:tc>
                      <w:tcPr>
                        <w:tcW w:w="5040" w:type="dxa"/>
                        <w:vAlign w:val="center"/>
                        <w:hideMark/>
                      </w:tcPr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ԼԵՌՆԱՅԻՆ ՂԱՐԱԲԱՂԻ ՀԱՆՐԱՊԵՏՈՒԹՅԱՆ</w:t>
                        </w:r>
                      </w:p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ԿԱՌԱՎԱՐՈՒԹՅԱՆ ԱՇԽԱՏԱԿԱԶՄԻ</w:t>
                        </w:r>
                      </w:p>
                      <w:p w:rsidR="00400D9D" w:rsidRPr="00400D9D" w:rsidRDefault="00400D9D" w:rsidP="00400D9D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ՂԵԿԱՎԱՐ-ՆԱԽԱՐԱՐ</w:t>
                        </w:r>
                      </w:p>
                    </w:tc>
                    <w:tc>
                      <w:tcPr>
                        <w:tcW w:w="12540" w:type="dxa"/>
                        <w:vAlign w:val="bottom"/>
                        <w:hideMark/>
                      </w:tcPr>
                      <w:p w:rsidR="00400D9D" w:rsidRPr="00400D9D" w:rsidRDefault="00400D9D" w:rsidP="00400D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400D9D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Լ. ԳՐԻԳՈՐՅԱՆ</w:t>
                        </w:r>
                      </w:p>
                    </w:tc>
                  </w:tr>
                </w:tbl>
                <w:p w:rsidR="00400D9D" w:rsidRPr="00400D9D" w:rsidRDefault="00400D9D" w:rsidP="00400D9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</w:tr>
          </w:tbl>
          <w:p w:rsidR="00400D9D" w:rsidRPr="00400D9D" w:rsidRDefault="00400D9D" w:rsidP="00400D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173B15" w:rsidRDefault="00173B15"/>
    <w:sectPr w:rsidR="0017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86"/>
    <w:rsid w:val="00173B15"/>
    <w:rsid w:val="003B4486"/>
    <w:rsid w:val="004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400D9D"/>
  </w:style>
  <w:style w:type="paragraph" w:styleId="a3">
    <w:name w:val="Normal (Web)"/>
    <w:basedOn w:val="a"/>
    <w:uiPriority w:val="99"/>
    <w:unhideWhenUsed/>
    <w:rsid w:val="0040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D9D"/>
    <w:rPr>
      <w:b/>
      <w:bCs/>
    </w:rPr>
  </w:style>
  <w:style w:type="character" w:styleId="a5">
    <w:name w:val="Emphasis"/>
    <w:basedOn w:val="a0"/>
    <w:uiPriority w:val="20"/>
    <w:qFormat/>
    <w:rsid w:val="00400D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400D9D"/>
  </w:style>
  <w:style w:type="paragraph" w:styleId="a3">
    <w:name w:val="Normal (Web)"/>
    <w:basedOn w:val="a"/>
    <w:uiPriority w:val="99"/>
    <w:unhideWhenUsed/>
    <w:rsid w:val="0040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D9D"/>
    <w:rPr>
      <w:b/>
      <w:bCs/>
    </w:rPr>
  </w:style>
  <w:style w:type="character" w:styleId="a5">
    <w:name w:val="Emphasis"/>
    <w:basedOn w:val="a0"/>
    <w:uiPriority w:val="20"/>
    <w:qFormat/>
    <w:rsid w:val="00400D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2019-07-08T08:08:00Z</dcterms:created>
  <dcterms:modified xsi:type="dcterms:W3CDTF">2019-07-08T08:08:00Z</dcterms:modified>
</cp:coreProperties>
</file>